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FDA8" w14:textId="370CC296" w:rsidR="002B0A8E" w:rsidRDefault="00ED2E61">
      <w:pPr>
        <w:pStyle w:val="Titel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764E9A">
        <w:t>Hemoglobin A1c, B- (</w:t>
      </w:r>
      <w:proofErr w:type="spellStart"/>
      <w:r w:rsidR="00764E9A">
        <w:t>Capillarys</w:t>
      </w:r>
      <w:proofErr w:type="spellEnd"/>
      <w:r w:rsidR="00764E9A">
        <w:t xml:space="preserve"> 3)</w:t>
      </w:r>
      <w:r>
        <w:fldChar w:fldCharType="end"/>
      </w:r>
    </w:p>
    <w:p w14:paraId="3E5ACDA1" w14:textId="77777777" w:rsidR="002B0A8E" w:rsidRDefault="002B0A8E">
      <w:pPr>
        <w:pStyle w:val="Rubrik1"/>
      </w:pPr>
      <w:r>
        <w:t>Koder</w:t>
      </w:r>
    </w:p>
    <w:p w14:paraId="3C8F6AC9" w14:textId="77777777" w:rsidR="002B0A8E" w:rsidRDefault="002B0A8E">
      <w:pPr>
        <w:pStyle w:val="Rubrik2"/>
      </w:pPr>
      <w:r>
        <w:t>Rapportnamn</w:t>
      </w:r>
    </w:p>
    <w:p w14:paraId="65007DEE" w14:textId="77777777" w:rsidR="00B57234" w:rsidRDefault="00B57234" w:rsidP="000D195E">
      <w:pPr>
        <w:keepNext w:val="0"/>
        <w:outlineLvl w:val="0"/>
      </w:pPr>
      <w:r>
        <w:t>B-HbA1c (IFCC)</w:t>
      </w:r>
    </w:p>
    <w:p w14:paraId="5EEBF64A" w14:textId="77777777" w:rsidR="002B0A8E" w:rsidRDefault="002B0A8E">
      <w:pPr>
        <w:pStyle w:val="Rubrik2"/>
      </w:pPr>
      <w:r>
        <w:t>Synonym</w:t>
      </w:r>
    </w:p>
    <w:p w14:paraId="1D546521" w14:textId="161CA4D3" w:rsidR="00B57234" w:rsidRDefault="00B57234" w:rsidP="000D195E">
      <w:pPr>
        <w:keepNext w:val="0"/>
        <w:outlineLvl w:val="0"/>
      </w:pPr>
      <w:r>
        <w:t>HbA1c</w:t>
      </w:r>
      <w:r w:rsidR="001C748D">
        <w:t>, glykerat hemoglobin</w:t>
      </w:r>
    </w:p>
    <w:p w14:paraId="49B85A36" w14:textId="77777777" w:rsidR="002B0A8E" w:rsidRDefault="002B0A8E">
      <w:pPr>
        <w:pStyle w:val="Rubrik2"/>
      </w:pPr>
      <w:r>
        <w:t>Beställningskod</w:t>
      </w:r>
    </w:p>
    <w:p w14:paraId="40699E70" w14:textId="77777777" w:rsidR="00B57234" w:rsidRDefault="00B57234" w:rsidP="000D195E">
      <w:pPr>
        <w:keepNext w:val="0"/>
        <w:outlineLvl w:val="0"/>
      </w:pPr>
      <w:r>
        <w:t>HBA1C</w:t>
      </w:r>
    </w:p>
    <w:p w14:paraId="2EEFF9D8" w14:textId="77777777" w:rsidR="002B0A8E" w:rsidRDefault="002B0A8E">
      <w:pPr>
        <w:pStyle w:val="Rubrik2"/>
      </w:pPr>
      <w:r>
        <w:t>Instrumentkod</w:t>
      </w:r>
    </w:p>
    <w:p w14:paraId="47508E10" w14:textId="77777777" w:rsidR="00B57234" w:rsidRDefault="00B57234" w:rsidP="000D195E">
      <w:pPr>
        <w:keepNext w:val="0"/>
        <w:outlineLvl w:val="0"/>
      </w:pPr>
      <w:r>
        <w:t>HbA1C</w:t>
      </w:r>
    </w:p>
    <w:p w14:paraId="7866D74C" w14:textId="77777777" w:rsidR="002B0A8E" w:rsidRDefault="002B0A8E">
      <w:pPr>
        <w:pStyle w:val="Rubrik2"/>
      </w:pPr>
      <w:r>
        <w:t>NPU-kod</w:t>
      </w:r>
      <w:r w:rsidR="0003787E">
        <w:t xml:space="preserve"> / EDI-kod</w:t>
      </w:r>
    </w:p>
    <w:p w14:paraId="1C5E767F" w14:textId="77777777" w:rsidR="00B57234" w:rsidRDefault="00B57234" w:rsidP="000D195E">
      <w:pPr>
        <w:keepNext w:val="0"/>
        <w:outlineLvl w:val="0"/>
      </w:pPr>
      <w:r>
        <w:t>NPU27300</w:t>
      </w:r>
    </w:p>
    <w:p w14:paraId="6EF4B196" w14:textId="77777777" w:rsidR="002B0A8E" w:rsidRDefault="002B0A8E">
      <w:pPr>
        <w:pStyle w:val="Rubrik1"/>
      </w:pPr>
      <w:r>
        <w:t>Provmaterial</w:t>
      </w:r>
    </w:p>
    <w:p w14:paraId="3C4DC453" w14:textId="77777777" w:rsidR="002B0A8E" w:rsidRDefault="002B0A8E">
      <w:pPr>
        <w:pStyle w:val="Rubrik2"/>
      </w:pPr>
      <w:r>
        <w:t>Patientförberedelser</w:t>
      </w:r>
    </w:p>
    <w:p w14:paraId="0E716F4F" w14:textId="77777777" w:rsidR="00694044" w:rsidRDefault="00EB4D86" w:rsidP="006D526F">
      <w:pPr>
        <w:keepNext w:val="0"/>
      </w:pPr>
      <w:r>
        <w:t>-</w:t>
      </w:r>
    </w:p>
    <w:p w14:paraId="30C7E44B" w14:textId="77777777" w:rsidR="002B0A8E" w:rsidRDefault="002B0A8E" w:rsidP="00694044">
      <w:pPr>
        <w:pStyle w:val="Rubrik2"/>
      </w:pPr>
      <w:r>
        <w:t>Typ av provmaterial</w:t>
      </w:r>
    </w:p>
    <w:p w14:paraId="7F8DECBB" w14:textId="77777777" w:rsidR="00B57234" w:rsidRDefault="00B57234" w:rsidP="000D195E">
      <w:pPr>
        <w:keepNext w:val="0"/>
      </w:pPr>
      <w:r>
        <w:t>Venblod eller kapillärblod.</w:t>
      </w:r>
    </w:p>
    <w:p w14:paraId="02BFB9D3" w14:textId="77777777" w:rsidR="002B0A8E" w:rsidRDefault="002B0A8E">
      <w:pPr>
        <w:pStyle w:val="Rubrik2"/>
      </w:pPr>
      <w:r>
        <w:t>Typ av provrör och tillsatser</w:t>
      </w:r>
    </w:p>
    <w:p w14:paraId="104878BF" w14:textId="77777777" w:rsidR="00B57234" w:rsidRDefault="00EB4D86" w:rsidP="000D195E">
      <w:pPr>
        <w:keepNext w:val="0"/>
      </w:pPr>
      <w:r>
        <w:t>Rör med tillsats av EDTA.</w:t>
      </w:r>
    </w:p>
    <w:p w14:paraId="474CE77E" w14:textId="77777777" w:rsidR="002B0A8E" w:rsidRDefault="002B0A8E">
      <w:pPr>
        <w:pStyle w:val="Rubrik2"/>
      </w:pPr>
      <w:r>
        <w:t>Provvolym</w:t>
      </w:r>
    </w:p>
    <w:p w14:paraId="6C59AEC7" w14:textId="77777777" w:rsidR="00B57234" w:rsidRDefault="008A4492" w:rsidP="000D195E">
      <w:pPr>
        <w:keepNext w:val="0"/>
      </w:pPr>
      <w:r>
        <w:t>80</w:t>
      </w:r>
      <w:r w:rsidR="00B57234">
        <w:t>0</w:t>
      </w:r>
      <w:r>
        <w:t xml:space="preserve"> </w:t>
      </w:r>
      <w:r w:rsidR="00B57234">
        <w:t>µL helblod (</w:t>
      </w:r>
      <w:r>
        <w:t>400</w:t>
      </w:r>
      <w:r w:rsidR="00B57234">
        <w:t xml:space="preserve"> µL om koniska rör används)</w:t>
      </w:r>
    </w:p>
    <w:p w14:paraId="5A4DA169" w14:textId="23F653EB" w:rsidR="007A296D" w:rsidRDefault="007A296D" w:rsidP="000D195E">
      <w:pPr>
        <w:keepNext w:val="0"/>
      </w:pPr>
      <w:r>
        <w:t>Kapillär</w:t>
      </w:r>
      <w:r w:rsidR="00A854D7">
        <w:t>t</w:t>
      </w:r>
      <w:r>
        <w:t xml:space="preserve"> prov minst 110µL</w:t>
      </w:r>
    </w:p>
    <w:p w14:paraId="4792F89C" w14:textId="77777777" w:rsidR="002B0A8E" w:rsidRDefault="002B0A8E">
      <w:pPr>
        <w:pStyle w:val="Rubrik2"/>
      </w:pPr>
      <w:r>
        <w:t>Provberedning och förvaring</w:t>
      </w:r>
    </w:p>
    <w:p w14:paraId="6C585D4C" w14:textId="77777777" w:rsidR="00B57234" w:rsidRDefault="00B57234" w:rsidP="000D195E">
      <w:pPr>
        <w:keepNext w:val="0"/>
      </w:pPr>
      <w:r>
        <w:t>EDTA-blodet förvaras vid 2-8</w:t>
      </w:r>
      <w:r>
        <w:fldChar w:fldCharType="begin"/>
      </w:r>
      <w:r>
        <w:instrText>\SYMBOL 176 \f "Symbol"</w:instrText>
      </w:r>
      <w:r>
        <w:fldChar w:fldCharType="end"/>
      </w:r>
      <w:r>
        <w:t>C upp till en vecka, men kan även förvaras i rumstemperatur upp till fem dagar.</w:t>
      </w:r>
    </w:p>
    <w:p w14:paraId="15002AA4" w14:textId="77777777" w:rsidR="002B0A8E" w:rsidRDefault="002B0A8E">
      <w:pPr>
        <w:pStyle w:val="Rubrik2"/>
      </w:pPr>
      <w:r>
        <w:t>Biobank och kassation</w:t>
      </w:r>
    </w:p>
    <w:p w14:paraId="42709D23" w14:textId="77777777" w:rsidR="002B0A8E" w:rsidRDefault="002B0A8E">
      <w:pPr>
        <w:pStyle w:val="Rubrik1"/>
      </w:pPr>
      <w:r>
        <w:t>Utförande</w:t>
      </w:r>
    </w:p>
    <w:p w14:paraId="75490D18" w14:textId="6F225223" w:rsidR="00B57234" w:rsidRPr="00694044" w:rsidRDefault="00B57234" w:rsidP="000D195E">
      <w:pPr>
        <w:keepNext w:val="0"/>
      </w:pPr>
      <w:r w:rsidRPr="00694044">
        <w:t>Se utförandebeskrivning ”Capillarys 3, utförande”</w:t>
      </w:r>
      <w:r w:rsidR="00E007F5">
        <w:t xml:space="preserve"> </w:t>
      </w:r>
      <w:hyperlink r:id="rId8" w:history="1">
        <w:r w:rsidR="00E007F5" w:rsidRPr="00E007F5">
          <w:rPr>
            <w:rStyle w:val="Hyperlnk"/>
          </w:rPr>
          <w:t>AL16031</w:t>
        </w:r>
      </w:hyperlink>
      <w:r w:rsidRPr="00694044">
        <w:t xml:space="preserve">. </w:t>
      </w:r>
    </w:p>
    <w:p w14:paraId="1E4733DC" w14:textId="77777777" w:rsidR="002B0A8E" w:rsidRPr="00694044" w:rsidRDefault="002B0A8E">
      <w:pPr>
        <w:pStyle w:val="Rubrik2"/>
      </w:pPr>
      <w:r w:rsidRPr="00694044">
        <w:t>Uträkning</w:t>
      </w:r>
    </w:p>
    <w:p w14:paraId="2C9D468E" w14:textId="77777777" w:rsidR="00EB4D86" w:rsidRDefault="00EB4D86" w:rsidP="000D195E">
      <w:pPr>
        <w:keepNext w:val="0"/>
      </w:pPr>
      <w:r w:rsidRPr="00694044">
        <w:t xml:space="preserve">Calibrated % (cal%) är inte samma sak som fraktionernas procentuella fördelning i Phoresis. Mycket viktigt att komma ihåg! Phoresis </w:t>
      </w:r>
      <w:r w:rsidR="00694044" w:rsidRPr="00694044">
        <w:t xml:space="preserve">bestämmer </w:t>
      </w:r>
      <w:r w:rsidRPr="00694044">
        <w:t>den %</w:t>
      </w:r>
      <w:r w:rsidR="00694044" w:rsidRPr="00694044">
        <w:t xml:space="preserve"> fraktionen</w:t>
      </w:r>
      <w:r w:rsidR="00694044">
        <w:t xml:space="preserve"> HbA1c på Capillarys enligt följande:</w:t>
      </w:r>
    </w:p>
    <w:p w14:paraId="28A881F1" w14:textId="77777777" w:rsidR="00EB4D86" w:rsidRPr="008A4492" w:rsidRDefault="00EB4D86" w:rsidP="000D195E">
      <w:pPr>
        <w:keepNext w:val="0"/>
        <w:rPr>
          <w:bCs/>
          <w:lang w:val="en-US"/>
        </w:rPr>
      </w:pPr>
      <w:r w:rsidRPr="008A4492">
        <w:rPr>
          <w:bCs/>
          <w:lang w:val="en-US"/>
        </w:rPr>
        <w:t>%HbA1c = HbA1c-area x100 / (HbA1c-area + HbA0-area)</w:t>
      </w:r>
    </w:p>
    <w:p w14:paraId="638DB18C" w14:textId="77777777" w:rsidR="00EB4D86" w:rsidRPr="008A4492" w:rsidRDefault="00EB4D86" w:rsidP="000D195E">
      <w:pPr>
        <w:keepNext w:val="0"/>
        <w:rPr>
          <w:lang w:val="en-US"/>
        </w:rPr>
      </w:pPr>
    </w:p>
    <w:p w14:paraId="4DE12E23" w14:textId="77777777" w:rsidR="00EB4D86" w:rsidRPr="00694044" w:rsidRDefault="00EB4D86" w:rsidP="000D195E">
      <w:pPr>
        <w:keepNext w:val="0"/>
      </w:pPr>
      <w:r>
        <w:t xml:space="preserve">HbA1c på Capillarys räknas </w:t>
      </w:r>
      <w:r w:rsidR="00694044">
        <w:t xml:space="preserve">dock </w:t>
      </w:r>
      <w:r>
        <w:t xml:space="preserve">ut i mmol/mol från den kalibrering med </w:t>
      </w:r>
      <w:r w:rsidRPr="00694044">
        <w:t xml:space="preserve">kalibratorernas åsatta värde som bara anges i mmol. </w:t>
      </w:r>
    </w:p>
    <w:p w14:paraId="52B3CC3B" w14:textId="77777777" w:rsidR="00EB4D86" w:rsidRDefault="00EB4D86" w:rsidP="000D195E">
      <w:pPr>
        <w:keepNext w:val="0"/>
        <w:rPr>
          <w:b/>
          <w:bCs/>
          <w:lang w:val="fr-FR"/>
        </w:rPr>
      </w:pPr>
      <w:r w:rsidRPr="00694044">
        <w:rPr>
          <w:bCs/>
        </w:rPr>
        <w:t>Arean är alltså uträknad i Phoresis och översatt till mmol</w:t>
      </w:r>
      <w:r w:rsidRPr="00694044">
        <w:t xml:space="preserve"> och</w:t>
      </w:r>
      <w:r>
        <w:t xml:space="preserve"> sen omvandlas detta till cal% enligt </w:t>
      </w:r>
      <w:r w:rsidR="00694044">
        <w:br/>
      </w:r>
      <w:r w:rsidRPr="00AF37AA">
        <w:t xml:space="preserve">” </w:t>
      </w:r>
      <w:r w:rsidRPr="008A4492">
        <w:rPr>
          <w:bCs/>
          <w:u w:val="single"/>
          <w:lang w:val="fr-FR"/>
        </w:rPr>
        <w:t>IFCC Master Equation</w:t>
      </w:r>
      <w:r w:rsidR="00694044" w:rsidRPr="00AF37AA">
        <w:t>”</w:t>
      </w:r>
      <w:r w:rsidRPr="00AF37AA">
        <w:t xml:space="preserve">  </w:t>
      </w:r>
      <w:r w:rsidRPr="008A4492">
        <w:rPr>
          <w:bCs/>
        </w:rPr>
        <w:t xml:space="preserve">cal </w:t>
      </w:r>
      <w:r w:rsidRPr="008A4492">
        <w:rPr>
          <w:bCs/>
          <w:lang w:val="fr-FR"/>
        </w:rPr>
        <w:t>% = 0.09148 x mmol/mol + 2.152</w:t>
      </w:r>
      <w:r>
        <w:rPr>
          <w:b/>
          <w:bCs/>
          <w:lang w:val="fr-FR"/>
        </w:rPr>
        <w:t xml:space="preserve"> </w:t>
      </w:r>
    </w:p>
    <w:p w14:paraId="56AED344" w14:textId="77777777" w:rsidR="002B0A8E" w:rsidRDefault="002B0A8E">
      <w:pPr>
        <w:pStyle w:val="Rubrik1"/>
      </w:pPr>
      <w:r>
        <w:lastRenderedPageBreak/>
        <w:t>Felkällor</w:t>
      </w:r>
    </w:p>
    <w:p w14:paraId="31247674" w14:textId="77777777" w:rsidR="0032772D" w:rsidRDefault="00B57234" w:rsidP="000D195E">
      <w:pPr>
        <w:keepNext w:val="0"/>
      </w:pPr>
      <w:r>
        <w:t>Sänkta värden kan ses bland annat vid hemolytisk anemi och blödningsanemi p.g.a. kortare erytrocytlivslängd. Glykering är en kontinuerlig process under hela erytrocytens livslängd.</w:t>
      </w:r>
      <w:r w:rsidR="005F5618" w:rsidRPr="005F5618">
        <w:t xml:space="preserve"> Även vid järnbrist ses ibland en falsk låg</w:t>
      </w:r>
      <w:r w:rsidR="005F5618">
        <w:t xml:space="preserve"> HbA1c-nivå avseende blodglukos</w:t>
      </w:r>
      <w:r w:rsidR="005F5618" w:rsidRPr="005F5618">
        <w:t>kontroll. En hög förekomst av fetalt Hb (HbF) i provet är en annan orsak till falskt lågt HbA1c. Det är dock först kring 15-20% HbF som detta fenomen blir signifikant.</w:t>
      </w:r>
      <w:r w:rsidR="005F5618">
        <w:t xml:space="preserve"> </w:t>
      </w:r>
      <w:r w:rsidR="0032772D">
        <w:t>Föutom hos spädbarn ses förhöjda HbF-värden vid t ex thalassemi och ibland hos gravida.</w:t>
      </w:r>
    </w:p>
    <w:p w14:paraId="0BEBBDC2" w14:textId="6E21E4E8" w:rsidR="00B57234" w:rsidRDefault="0094482A" w:rsidP="000D195E">
      <w:pPr>
        <w:keepNext w:val="0"/>
      </w:pPr>
      <w:r>
        <w:t>Det finns en mängd olika genetis</w:t>
      </w:r>
      <w:r w:rsidR="0032772D">
        <w:t xml:space="preserve">ka varianter av hemoglobin, där </w:t>
      </w:r>
      <w:r>
        <w:t xml:space="preserve">majoriteten </w:t>
      </w:r>
      <w:r w:rsidR="0032772D">
        <w:t xml:space="preserve">sannolikt </w:t>
      </w:r>
      <w:r>
        <w:t xml:space="preserve">inte påverkar mätresultatet signifikant, medan andra varianter kan ge falskt lågt HbA1c. Sällsynta varianter kan ge falskt högt resultat.  </w:t>
      </w:r>
    </w:p>
    <w:p w14:paraId="46E0C0DA" w14:textId="77777777" w:rsidR="000D195E" w:rsidRDefault="000D195E" w:rsidP="000D195E">
      <w:pPr>
        <w:keepNext w:val="0"/>
      </w:pPr>
    </w:p>
    <w:p w14:paraId="1880FE31" w14:textId="77777777" w:rsidR="002B0A8E" w:rsidRDefault="002B0A8E">
      <w:pPr>
        <w:pStyle w:val="Rubrik2"/>
      </w:pPr>
      <w:r>
        <w:t>Interferenser</w:t>
      </w:r>
    </w:p>
    <w:p w14:paraId="27A45C5E" w14:textId="08C4F020" w:rsidR="00694044" w:rsidRDefault="00694044" w:rsidP="000D195E">
      <w:pPr>
        <w:keepNext w:val="0"/>
      </w:pPr>
      <w:r>
        <w:t>Upp till följande %-</w:t>
      </w:r>
      <w:r w:rsidR="00850BF4">
        <w:t xml:space="preserve">satser </w:t>
      </w:r>
      <w:r>
        <w:t>interfererar ej med HbA1c-metoden</w:t>
      </w:r>
      <w:r w:rsidR="005F5618">
        <w:t xml:space="preserve"> enligt tillverkaren</w:t>
      </w:r>
      <w:r>
        <w:br/>
        <w:t>- Karbamylerat hemoglobin (&lt;5</w:t>
      </w:r>
      <w:r w:rsidR="005F5618">
        <w:t>,</w:t>
      </w:r>
      <w:r>
        <w:t>6%) och labile HbA1c (&lt;12</w:t>
      </w:r>
      <w:r w:rsidR="005F5618">
        <w:t>,</w:t>
      </w:r>
      <w:r>
        <w:t>7%)</w:t>
      </w:r>
    </w:p>
    <w:p w14:paraId="67784F53" w14:textId="77777777" w:rsidR="00694044" w:rsidRDefault="00694044" w:rsidP="000D195E">
      <w:pPr>
        <w:keepNext w:val="0"/>
      </w:pPr>
      <w:r>
        <w:t>- HbF (Fetalt Hb) upp till 23%</w:t>
      </w:r>
    </w:p>
    <w:p w14:paraId="0D880071" w14:textId="36423D4D" w:rsidR="00694044" w:rsidRDefault="00694044" w:rsidP="000D195E">
      <w:pPr>
        <w:keepNext w:val="0"/>
      </w:pPr>
      <w:r>
        <w:t>- HbA2 upp till 11</w:t>
      </w:r>
      <w:r w:rsidR="005F5618">
        <w:t>,</w:t>
      </w:r>
      <w:r>
        <w:t>3%</w:t>
      </w:r>
    </w:p>
    <w:p w14:paraId="26368D0A" w14:textId="70233E55" w:rsidR="00A131CE" w:rsidRDefault="00A131CE" w:rsidP="000D195E">
      <w:pPr>
        <w:keepNext w:val="0"/>
      </w:pPr>
      <w:r>
        <w:t>Hyperleukocytos, migreringshastigheten ökar vilket orsakar en förskjutning av profilen.</w:t>
      </w:r>
    </w:p>
    <w:p w14:paraId="3585A7FF" w14:textId="77777777" w:rsidR="002B0A8E" w:rsidRDefault="002B0A8E">
      <w:pPr>
        <w:pStyle w:val="Rubrik1"/>
      </w:pPr>
      <w:r>
        <w:br/>
        <w:t>Svarsrutiner</w:t>
      </w:r>
    </w:p>
    <w:p w14:paraId="638ABD46" w14:textId="38B38FD7" w:rsidR="00366C54" w:rsidRDefault="00B57234" w:rsidP="00A45A0F">
      <w:pPr>
        <w:keepNext w:val="0"/>
      </w:pPr>
      <w:bookmarkStart w:id="0" w:name="_GoBack"/>
      <w:r w:rsidRPr="00EB2BA8">
        <w:rPr>
          <w:shd w:val="clear" w:color="auto" w:fill="FFFF00"/>
        </w:rPr>
        <w:t xml:space="preserve">Svar lämnas ut </w:t>
      </w:r>
      <w:r w:rsidR="00366C54" w:rsidRPr="00EB2BA8">
        <w:rPr>
          <w:shd w:val="clear" w:color="auto" w:fill="FFFF00"/>
        </w:rPr>
        <w:t>som heltal med enheten mmol/mol</w:t>
      </w:r>
      <w:r w:rsidR="0094482A" w:rsidRPr="00EB2BA8">
        <w:rPr>
          <w:shd w:val="clear" w:color="auto" w:fill="FFFF00"/>
        </w:rPr>
        <w:t>.</w:t>
      </w:r>
      <w:r w:rsidR="0094482A">
        <w:t xml:space="preserve"> </w:t>
      </w:r>
      <w:r w:rsidR="00366C54">
        <w:t xml:space="preserve"> </w:t>
      </w:r>
      <w:bookmarkEnd w:id="0"/>
      <w:r w:rsidR="00366C54">
        <w:t>Schematisk bild nedan följs då en atypisk profil fås i instrumentmjukvaran Phoresis. Vid vissa varianter analyseras provet dubbelt mot Afinion (ett PNA-instrument)</w:t>
      </w:r>
    </w:p>
    <w:p w14:paraId="5C8C05E3" w14:textId="77777777" w:rsidR="00643019" w:rsidRDefault="00643019" w:rsidP="00643019">
      <w:pPr>
        <w:pStyle w:val="Rubrik2"/>
      </w:pPr>
    </w:p>
    <w:p w14:paraId="02CABF0B" w14:textId="77777777" w:rsidR="00643019" w:rsidRDefault="00643019" w:rsidP="00643019">
      <w:pPr>
        <w:pStyle w:val="Rubrik2"/>
      </w:pPr>
      <w:r>
        <w:t>Referensintervall</w:t>
      </w:r>
    </w:p>
    <w:p w14:paraId="370FB9DA" w14:textId="77777777" w:rsidR="00643019" w:rsidRDefault="00643019" w:rsidP="00643019">
      <w:pPr>
        <w:pStyle w:val="Brdtextmedindrag"/>
      </w:pPr>
      <w:r>
        <w:t>6 mån – 17 år:</w:t>
      </w:r>
      <w:r>
        <w:tab/>
        <w:t>28 - 39 mmol/mol</w:t>
      </w:r>
      <w:r>
        <w:br/>
        <w:t>18 år - 49 år:</w:t>
      </w:r>
      <w:r>
        <w:tab/>
        <w:t>27 - 42 mmol/mol</w:t>
      </w:r>
      <w:r>
        <w:br/>
        <w:t>≥50 år:</w:t>
      </w:r>
      <w:r>
        <w:tab/>
        <w:t>31 - 46 mmol/mol</w:t>
      </w:r>
    </w:p>
    <w:p w14:paraId="7159A428" w14:textId="77777777" w:rsidR="00643019" w:rsidRDefault="00643019" w:rsidP="00643019">
      <w:pPr>
        <w:keepNext w:val="0"/>
      </w:pPr>
      <w:r>
        <w:t>Ej könsrelaterat.</w:t>
      </w:r>
    </w:p>
    <w:p w14:paraId="16FB79B6" w14:textId="77777777" w:rsidR="00643019" w:rsidRDefault="00643019" w:rsidP="00643019">
      <w:pPr>
        <w:pStyle w:val="Rubrik2"/>
      </w:pPr>
    </w:p>
    <w:p w14:paraId="4878F33D" w14:textId="77777777" w:rsidR="00643019" w:rsidRDefault="00643019" w:rsidP="00643019">
      <w:pPr>
        <w:pStyle w:val="Rubrik2"/>
      </w:pPr>
      <w:r>
        <w:t>Referensurvalsgrupp</w:t>
      </w:r>
    </w:p>
    <w:p w14:paraId="631846DF" w14:textId="3449D248" w:rsidR="00643019" w:rsidRDefault="00643019" w:rsidP="00643019">
      <w:pPr>
        <w:keepNext w:val="0"/>
      </w:pPr>
      <w:r>
        <w:t>Barn: se referenslista nr 1.</w:t>
      </w:r>
      <w:r>
        <w:br/>
        <w:t xml:space="preserve">Vuxna: referensindividerna har utvalts från ett referensmaterial insamlat i Kristianstad (2 slumpmässigt valda individer per kön och ålder; </w:t>
      </w:r>
      <w:r>
        <w:br/>
        <w:t>20 - 80 år). Bland referensindividerna har sådana med diabetes och förhöjt fasteblodsocker uteslutits. Källa EQUALIS.</w:t>
      </w:r>
    </w:p>
    <w:p w14:paraId="0F14EFDF" w14:textId="764799C9" w:rsidR="00A14A95" w:rsidRDefault="00A14A95" w:rsidP="00643019">
      <w:pPr>
        <w:keepNext w:val="0"/>
      </w:pPr>
    </w:p>
    <w:p w14:paraId="33E3A490" w14:textId="12AF2DA1" w:rsidR="00A14A95" w:rsidRDefault="00A14A95" w:rsidP="00643019">
      <w:pPr>
        <w:keepNext w:val="0"/>
      </w:pPr>
    </w:p>
    <w:p w14:paraId="65762206" w14:textId="5F55091B" w:rsidR="00A14A95" w:rsidRDefault="00A14A95" w:rsidP="00643019">
      <w:pPr>
        <w:keepNext w:val="0"/>
      </w:pPr>
    </w:p>
    <w:p w14:paraId="5C4B3A15" w14:textId="0A9DE228" w:rsidR="00A14A95" w:rsidRDefault="00A14A95" w:rsidP="00643019">
      <w:pPr>
        <w:keepNext w:val="0"/>
      </w:pPr>
    </w:p>
    <w:p w14:paraId="65F9D37F" w14:textId="0F56E786" w:rsidR="00A14A95" w:rsidRDefault="00A14A95" w:rsidP="00643019">
      <w:pPr>
        <w:keepNext w:val="0"/>
      </w:pPr>
    </w:p>
    <w:p w14:paraId="13FCC0F2" w14:textId="11969012" w:rsidR="00A14A95" w:rsidRDefault="00A14A95" w:rsidP="00643019">
      <w:pPr>
        <w:keepNext w:val="0"/>
      </w:pPr>
    </w:p>
    <w:p w14:paraId="5821CD9E" w14:textId="1195D139" w:rsidR="00A14A95" w:rsidRDefault="00A14A95" w:rsidP="00A14A95">
      <w:pPr>
        <w:keepNext w:val="0"/>
        <w:ind w:left="709"/>
      </w:pPr>
      <w:r>
        <w:rPr>
          <w:noProof/>
          <w:lang w:eastAsia="sv-SE"/>
        </w:rPr>
        <w:drawing>
          <wp:inline distT="0" distB="0" distL="0" distR="0" wp14:anchorId="46985257" wp14:editId="2849AF85">
            <wp:extent cx="5495925" cy="6488472"/>
            <wp:effectExtent l="0" t="0" r="0" b="7620"/>
            <wp:docPr id="2" name="Bildobjekt 2" descr="cid:image003.png@01D3888A.4282F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3.png@01D3888A.4282F7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84" cy="650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3BF71" w14:textId="77777777" w:rsidR="00643019" w:rsidRDefault="00643019" w:rsidP="00A45A0F">
      <w:pPr>
        <w:keepNext w:val="0"/>
      </w:pPr>
    </w:p>
    <w:p w14:paraId="4EB41124" w14:textId="1B6AA187" w:rsidR="00A45A0F" w:rsidRDefault="00A45A0F">
      <w:pPr>
        <w:keepNext w:val="0"/>
      </w:pPr>
    </w:p>
    <w:p w14:paraId="29BB4D7D" w14:textId="77777777" w:rsidR="002B0A8E" w:rsidRDefault="002B0A8E">
      <w:pPr>
        <w:pStyle w:val="Rubrik1"/>
      </w:pPr>
      <w:r>
        <w:t>Utrustning</w:t>
      </w:r>
    </w:p>
    <w:p w14:paraId="11986F88" w14:textId="77777777" w:rsidR="002B0A8E" w:rsidRDefault="002B0A8E">
      <w:pPr>
        <w:pStyle w:val="Rubrik2"/>
      </w:pPr>
      <w:r>
        <w:t>Instrument</w:t>
      </w:r>
    </w:p>
    <w:p w14:paraId="1FFB73F3" w14:textId="77777777" w:rsidR="002B0A8E" w:rsidRDefault="00B57234" w:rsidP="006D526F">
      <w:pPr>
        <w:keepNext w:val="0"/>
      </w:pPr>
      <w:r>
        <w:t>Capillarys 3</w:t>
      </w:r>
      <w:r w:rsidR="00694044">
        <w:t xml:space="preserve"> Tera, Sebia, Frankrike</w:t>
      </w:r>
      <w:r w:rsidR="00E174A7">
        <w:t xml:space="preserve">. </w:t>
      </w:r>
      <w:r w:rsidR="00694044">
        <w:t xml:space="preserve">Svensk </w:t>
      </w:r>
      <w:r w:rsidR="00F806E4">
        <w:t>distributör</w:t>
      </w:r>
      <w:r w:rsidR="00694044">
        <w:t xml:space="preserve"> är Acc Nordic</w:t>
      </w:r>
    </w:p>
    <w:p w14:paraId="375335AD" w14:textId="77777777" w:rsidR="000D195E" w:rsidRDefault="000D195E" w:rsidP="006D526F">
      <w:pPr>
        <w:keepNext w:val="0"/>
      </w:pPr>
    </w:p>
    <w:p w14:paraId="53D18FB7" w14:textId="77777777" w:rsidR="002B0A8E" w:rsidRDefault="002B0A8E">
      <w:pPr>
        <w:pStyle w:val="Rubrik2"/>
      </w:pPr>
      <w:r>
        <w:t>Material</w:t>
      </w:r>
    </w:p>
    <w:p w14:paraId="298343A9" w14:textId="77777777" w:rsidR="002B0A8E" w:rsidRDefault="00B57234" w:rsidP="006D526F">
      <w:pPr>
        <w:keepNext w:val="0"/>
      </w:pPr>
      <w:r>
        <w:t>Caps and Tubes for Controls (500 st), Art.nr: 9205, koniska rör för HbA1c kalibratorer, kontroller samt kapillärprover.</w:t>
      </w:r>
    </w:p>
    <w:p w14:paraId="2BC77E9E" w14:textId="77777777" w:rsidR="002B0A8E" w:rsidRDefault="002B0A8E">
      <w:pPr>
        <w:pStyle w:val="Rubrik1"/>
      </w:pPr>
      <w:r>
        <w:lastRenderedPageBreak/>
        <w:t>Reagens</w:t>
      </w:r>
    </w:p>
    <w:p w14:paraId="1F512D2C" w14:textId="77777777" w:rsidR="002B0A8E" w:rsidRDefault="002B0A8E">
      <w:pPr>
        <w:pStyle w:val="Rubrik2"/>
      </w:pPr>
      <w:r>
        <w:t>Kemikalier / Kit</w:t>
      </w:r>
    </w:p>
    <w:p w14:paraId="083EA630" w14:textId="77777777" w:rsidR="00B57234" w:rsidRDefault="00B57234" w:rsidP="000D195E">
      <w:pPr>
        <w:keepNext w:val="0"/>
        <w:tabs>
          <w:tab w:val="left" w:pos="2127"/>
          <w:tab w:val="left" w:pos="2410"/>
        </w:tabs>
      </w:pPr>
      <w:r>
        <w:t>Capi 3 Hb</w:t>
      </w:r>
      <w:r w:rsidR="001E355C">
        <w:t xml:space="preserve"> </w:t>
      </w:r>
      <w:r>
        <w:t xml:space="preserve">A1c kit, Art.nr: 2515, som innehåller </w:t>
      </w:r>
      <w:r w:rsidR="001E355C">
        <w:t>2</w:t>
      </w:r>
      <w:r>
        <w:t xml:space="preserve"> flaskor </w:t>
      </w:r>
      <w:r w:rsidR="001E355C">
        <w:t>buffert (stabila 20 dagar i rumstemper</w:t>
      </w:r>
      <w:r w:rsidR="00E007F5">
        <w:t>a</w:t>
      </w:r>
      <w:r w:rsidR="001E355C">
        <w:t>tur) och 1 flaska hemolyseringsbuffert. F</w:t>
      </w:r>
      <w:r>
        <w:t>örvaras vid 2-</w:t>
      </w:r>
      <w:r w:rsidR="001E355C">
        <w:t>8</w:t>
      </w:r>
      <w:r>
        <w:sym w:font="Symbol" w:char="F0B0"/>
      </w:r>
      <w:r>
        <w:t>C</w:t>
      </w:r>
      <w:r w:rsidR="001E355C">
        <w:t>, men a</w:t>
      </w:r>
      <w:r>
        <w:t>nvändas rumstempererad.</w:t>
      </w:r>
    </w:p>
    <w:p w14:paraId="667A3190" w14:textId="77777777" w:rsidR="00B57234" w:rsidRDefault="00B57234" w:rsidP="000D195E">
      <w:pPr>
        <w:keepNext w:val="0"/>
        <w:tabs>
          <w:tab w:val="left" w:pos="2127"/>
          <w:tab w:val="left" w:pos="2410"/>
        </w:tabs>
      </w:pPr>
      <w:r>
        <w:t>Capi 3 Wash solution, Art.nr: 2062, 1 flaska med stamlösning (75 mL), som späds upp till 750 mL med Milli-Q vatten, hållbar tre månader vid rumstemperatur. Färdig tvättlösning är kraftigt alkalisk (pH ~ 12)</w:t>
      </w:r>
      <w:r w:rsidR="00E007F5">
        <w:t>.</w:t>
      </w:r>
    </w:p>
    <w:p w14:paraId="78CC4F01" w14:textId="77777777" w:rsidR="00B57234" w:rsidRDefault="00B57234" w:rsidP="000D195E">
      <w:pPr>
        <w:keepNext w:val="0"/>
      </w:pPr>
      <w:r>
        <w:t>Capi 3 Capiclean, Art.nr: 2060, innehåller proteolytiska enzymer, ytaktiva ämnen och tillsatser, förvaras vid 2-8</w:t>
      </w:r>
      <w:r>
        <w:sym w:font="Symbol" w:char="F0B0"/>
      </w:r>
      <w:r>
        <w:t>C till angivet utgångsdatum.</w:t>
      </w:r>
    </w:p>
    <w:p w14:paraId="50FFD691" w14:textId="3C4E6704" w:rsidR="00B57234" w:rsidRDefault="00B57234" w:rsidP="000D195E">
      <w:pPr>
        <w:keepNext w:val="0"/>
        <w:tabs>
          <w:tab w:val="left" w:pos="2127"/>
          <w:tab w:val="left" w:pos="2410"/>
        </w:tabs>
      </w:pPr>
      <w:r>
        <w:t>Filter: 0.22 µm filter förekommer till var flaska som innehar en slangkoppling, d</w:t>
      </w:r>
      <w:r w:rsidR="0094482A">
        <w:t xml:space="preserve"> </w:t>
      </w:r>
      <w:r>
        <w:t>v</w:t>
      </w:r>
      <w:r w:rsidR="0094482A">
        <w:t xml:space="preserve"> </w:t>
      </w:r>
      <w:r>
        <w:t>s alla förutom Capiclean där korken punkteras av nålen.</w:t>
      </w:r>
    </w:p>
    <w:p w14:paraId="01D7669A" w14:textId="6E866B0A" w:rsidR="00B57234" w:rsidRDefault="00B57234" w:rsidP="000D195E">
      <w:pPr>
        <w:keepNext w:val="0"/>
        <w:tabs>
          <w:tab w:val="left" w:pos="2127"/>
          <w:tab w:val="left" w:pos="2410"/>
        </w:tabs>
      </w:pPr>
      <w:r>
        <w:t>Capi 3 Disposables kit, Art.nr: 2580, reagenskoppar och avfallsbehållare till 12 positionssystem (obs! Rackar endast 8 positioner)</w:t>
      </w:r>
      <w:r w:rsidR="00E007F5">
        <w:t>.</w:t>
      </w:r>
    </w:p>
    <w:p w14:paraId="0E3EF675" w14:textId="77777777" w:rsidR="000D195E" w:rsidRDefault="000D195E" w:rsidP="000D195E">
      <w:pPr>
        <w:keepNext w:val="0"/>
        <w:tabs>
          <w:tab w:val="left" w:pos="2127"/>
          <w:tab w:val="left" w:pos="2410"/>
        </w:tabs>
      </w:pPr>
    </w:p>
    <w:p w14:paraId="5602A537" w14:textId="77777777" w:rsidR="002B0A8E" w:rsidRDefault="002B0A8E">
      <w:pPr>
        <w:pStyle w:val="Rubrik2"/>
      </w:pPr>
      <w:r>
        <w:t>Reagensberedning</w:t>
      </w:r>
    </w:p>
    <w:p w14:paraId="3E890586" w14:textId="77777777" w:rsidR="001E355C" w:rsidRDefault="001E355C" w:rsidP="001E355C">
      <w:pPr>
        <w:pStyle w:val="Rubrik3"/>
      </w:pPr>
      <w:r>
        <w:t xml:space="preserve">3%-ig </w:t>
      </w:r>
      <w:r w:rsidR="002A7C5B">
        <w:t>N</w:t>
      </w:r>
      <w:r>
        <w:t>atriumhypokloritlösning</w:t>
      </w:r>
    </w:p>
    <w:p w14:paraId="29A5B7A7" w14:textId="35C554A5" w:rsidR="001E355C" w:rsidRDefault="001E355C" w:rsidP="000D195E">
      <w:pPr>
        <w:keepNext w:val="0"/>
        <w:rPr>
          <w:b/>
        </w:rPr>
      </w:pPr>
      <w:r>
        <w:t>Natriumhypokloritlösning teknisk (15%) NaOCl</w:t>
      </w:r>
      <w:r>
        <w:tab/>
        <w:t>100 mL</w:t>
      </w:r>
      <w:r>
        <w:br/>
        <w:t xml:space="preserve">Milli-Q vatten </w:t>
      </w:r>
      <w:r>
        <w:tab/>
      </w:r>
      <w:r>
        <w:tab/>
        <w:t>till</w:t>
      </w:r>
      <w:r>
        <w:tab/>
        <w:t>400 mL</w:t>
      </w:r>
    </w:p>
    <w:p w14:paraId="55835091" w14:textId="77777777" w:rsidR="001E355C" w:rsidRDefault="001E355C" w:rsidP="000D195E">
      <w:pPr>
        <w:keepNext w:val="0"/>
      </w:pPr>
      <w:r>
        <w:t>Blandas i mätkolv.</w:t>
      </w:r>
      <w:r>
        <w:br/>
        <w:t>Förvaras i glasflaska med propp.</w:t>
      </w:r>
    </w:p>
    <w:p w14:paraId="29B6AEC8" w14:textId="77777777" w:rsidR="001E355C" w:rsidRDefault="001E355C" w:rsidP="000D195E">
      <w:pPr>
        <w:keepNext w:val="0"/>
      </w:pPr>
      <w:r>
        <w:t>Lösningen hållbar 6 månader vid 2 - 8</w:t>
      </w:r>
      <w:r>
        <w:sym w:font="Symbol" w:char="F0B0"/>
      </w:r>
      <w:r>
        <w:t>C.</w:t>
      </w:r>
    </w:p>
    <w:p w14:paraId="605BFBE8" w14:textId="77777777" w:rsidR="002B0A8E" w:rsidRDefault="002B0A8E" w:rsidP="006D526F">
      <w:pPr>
        <w:keepNext w:val="0"/>
      </w:pPr>
    </w:p>
    <w:p w14:paraId="43DBD789" w14:textId="77777777" w:rsidR="002B0A8E" w:rsidRDefault="002B0A8E">
      <w:pPr>
        <w:pStyle w:val="Rubrik2"/>
      </w:pPr>
      <w:r>
        <w:t>Riskbedömning</w:t>
      </w:r>
    </w:p>
    <w:p w14:paraId="63E87DF5" w14:textId="77777777" w:rsidR="001E355C" w:rsidRDefault="001E355C" w:rsidP="000D195E">
      <w:pPr>
        <w:keepNext w:val="0"/>
        <w:tabs>
          <w:tab w:val="left" w:pos="2127"/>
          <w:tab w:val="left" w:pos="2410"/>
        </w:tabs>
      </w:pPr>
      <w:r>
        <w:t>Tvättlösning innehåller NaOH och är kraftigt alkaliskt.</w:t>
      </w:r>
    </w:p>
    <w:p w14:paraId="6934FC03" w14:textId="77777777" w:rsidR="001E355C" w:rsidRDefault="001E355C" w:rsidP="000D195E">
      <w:pPr>
        <w:keepNext w:val="0"/>
        <w:tabs>
          <w:tab w:val="left" w:pos="2127"/>
          <w:tab w:val="left" w:pos="2410"/>
        </w:tabs>
      </w:pPr>
      <w:r>
        <w:t>Capiclean kan orsaka brännskador och irritation på hud, ögon och slemhinnor.</w:t>
      </w:r>
    </w:p>
    <w:p w14:paraId="30B50164" w14:textId="77777777" w:rsidR="002B0A8E" w:rsidRDefault="002B0A8E">
      <w:pPr>
        <w:pStyle w:val="Rubrik1"/>
      </w:pPr>
      <w:r>
        <w:t>Kalibrering</w:t>
      </w:r>
    </w:p>
    <w:p w14:paraId="2B032E4C" w14:textId="77777777" w:rsidR="002B0A8E" w:rsidRPr="00DC64D5" w:rsidRDefault="002B0A8E">
      <w:pPr>
        <w:pStyle w:val="Rubrik2"/>
      </w:pPr>
      <w:r w:rsidRPr="00DC64D5">
        <w:t>Kalibrator</w:t>
      </w:r>
    </w:p>
    <w:p w14:paraId="3413F2B3" w14:textId="7A763245" w:rsidR="002B0A8E" w:rsidRDefault="00DC64D5" w:rsidP="006D526F">
      <w:pPr>
        <w:keepNext w:val="0"/>
      </w:pPr>
      <w:r w:rsidRPr="00DC64D5">
        <w:t xml:space="preserve">Hb A1c Capillary Calibrators, Art.no: 4755, används för kalibrering (2 nivåer) och centrering av elektroforesprofilen. En kalibrering </w:t>
      </w:r>
      <w:r w:rsidR="00930711">
        <w:t>är</w:t>
      </w:r>
      <w:r w:rsidR="00930711" w:rsidRPr="00DC64D5">
        <w:t xml:space="preserve"> </w:t>
      </w:r>
      <w:r w:rsidRPr="00DC64D5">
        <w:t>giltig under</w:t>
      </w:r>
      <w:r>
        <w:t xml:space="preserve"> 2 månader. Frystorkat material som rekonstr</w:t>
      </w:r>
      <w:r w:rsidR="001C3B16">
        <w:t>ueras med 600 µ</w:t>
      </w:r>
      <w:r>
        <w:t>L Milli-</w:t>
      </w:r>
      <w:r w:rsidR="00A854D7">
        <w:t xml:space="preserve">Q </w:t>
      </w:r>
      <w:r>
        <w:t>vatten och behöver inkuberas i 30 min innan användning.</w:t>
      </w:r>
      <w:r w:rsidR="000A08C0">
        <w:t xml:space="preserve"> </w:t>
      </w:r>
    </w:p>
    <w:p w14:paraId="7C5295BD" w14:textId="12B5F789" w:rsidR="00DC64D5" w:rsidRDefault="00DC64D5" w:rsidP="000D195E">
      <w:pPr>
        <w:keepNext w:val="0"/>
      </w:pPr>
      <w:r>
        <w:t>Handhavande, se utförandebeskrivning ”Capillarys 3,</w:t>
      </w:r>
      <w:r w:rsidR="00E62C6A">
        <w:t xml:space="preserve"> utförande</w:t>
      </w:r>
      <w:r w:rsidR="00E007F5">
        <w:t xml:space="preserve">” </w:t>
      </w:r>
      <w:hyperlink r:id="rId11" w:history="1">
        <w:r w:rsidR="00E007F5" w:rsidRPr="00E007F5">
          <w:rPr>
            <w:rStyle w:val="Hyperlnk"/>
          </w:rPr>
          <w:t>AL16031</w:t>
        </w:r>
      </w:hyperlink>
      <w:r w:rsidR="00E62C6A">
        <w:t>.</w:t>
      </w:r>
    </w:p>
    <w:p w14:paraId="07477644" w14:textId="77777777" w:rsidR="00DC64D5" w:rsidRDefault="00DC64D5" w:rsidP="006D526F">
      <w:pPr>
        <w:keepNext w:val="0"/>
      </w:pPr>
    </w:p>
    <w:p w14:paraId="5B90B2E4" w14:textId="77777777" w:rsidR="002B0A8E" w:rsidRDefault="002B0A8E">
      <w:pPr>
        <w:pStyle w:val="Rubrik2"/>
      </w:pPr>
      <w:r>
        <w:t>Spårbarhet</w:t>
      </w:r>
    </w:p>
    <w:p w14:paraId="592BCAC4" w14:textId="0E82C300" w:rsidR="002B0A8E" w:rsidRDefault="000A08C0" w:rsidP="006D526F">
      <w:pPr>
        <w:keepNext w:val="0"/>
      </w:pPr>
      <w:r>
        <w:t>Kalibratorerna är spårbara till IFCC referensmetod.</w:t>
      </w:r>
    </w:p>
    <w:p w14:paraId="4ACF0D22" w14:textId="77777777" w:rsidR="002B0A8E" w:rsidRDefault="002B0A8E">
      <w:pPr>
        <w:pStyle w:val="Rubrik1"/>
      </w:pPr>
      <w:r>
        <w:t>Kvalitetskontroll</w:t>
      </w:r>
    </w:p>
    <w:p w14:paraId="0437B8FC" w14:textId="77777777" w:rsidR="002B0A8E" w:rsidRDefault="002B0A8E">
      <w:pPr>
        <w:pStyle w:val="Rubrik2"/>
      </w:pPr>
      <w:r>
        <w:t>Internkontroll</w:t>
      </w:r>
    </w:p>
    <w:p w14:paraId="68C03E50" w14:textId="4F080925" w:rsidR="00DC64D5" w:rsidRDefault="001C3B16" w:rsidP="000D195E">
      <w:pPr>
        <w:keepNext w:val="0"/>
      </w:pPr>
      <w:r>
        <w:t>Hb A1c Capillary Control</w:t>
      </w:r>
      <w:r w:rsidRPr="00DC64D5">
        <w:t xml:space="preserve">s, Art.no: </w:t>
      </w:r>
      <w:r>
        <w:t>4768</w:t>
      </w:r>
      <w:r w:rsidRPr="00DC64D5">
        <w:t xml:space="preserve">, används för </w:t>
      </w:r>
      <w:r>
        <w:t>kontroll</w:t>
      </w:r>
      <w:r w:rsidRPr="00DC64D5">
        <w:t xml:space="preserve"> (2 nivåer) och centrering av elektroforesprofilen. </w:t>
      </w:r>
      <w:r>
        <w:t>Frystorkat material som rekonstrueras med 750 µL Milli-</w:t>
      </w:r>
      <w:r w:rsidR="00A854D7">
        <w:t xml:space="preserve">Q </w:t>
      </w:r>
      <w:r>
        <w:t xml:space="preserve">vatten och behöver inkuberas i 30 min </w:t>
      </w:r>
      <w:r w:rsidR="00A854D7">
        <w:t xml:space="preserve">före </w:t>
      </w:r>
      <w:r>
        <w:t>användning.</w:t>
      </w:r>
      <w:r w:rsidR="00897606">
        <w:t xml:space="preserve"> </w:t>
      </w:r>
      <w:r w:rsidR="00DC64D5">
        <w:t>Kontroll analyseras i samband med provanalys.</w:t>
      </w:r>
    </w:p>
    <w:p w14:paraId="322367B1" w14:textId="77777777" w:rsidR="00DC64D5" w:rsidRDefault="00DC64D5" w:rsidP="000D195E">
      <w:pPr>
        <w:keepNext w:val="0"/>
      </w:pPr>
      <w:r>
        <w:lastRenderedPageBreak/>
        <w:t>Handhavande, se utförandebeskrivning ”C</w:t>
      </w:r>
      <w:r w:rsidR="00897606">
        <w:t>apillarys 3,</w:t>
      </w:r>
      <w:r>
        <w:t xml:space="preserve"> </w:t>
      </w:r>
      <w:r w:rsidR="00E62C6A">
        <w:t>utförande</w:t>
      </w:r>
      <w:r w:rsidR="006D526F">
        <w:t>” AL16031</w:t>
      </w:r>
      <w:r w:rsidR="00E62C6A">
        <w:t>.</w:t>
      </w:r>
    </w:p>
    <w:p w14:paraId="20819A5B" w14:textId="77777777" w:rsidR="000D195E" w:rsidRDefault="000D195E" w:rsidP="000D195E">
      <w:pPr>
        <w:keepNext w:val="0"/>
      </w:pPr>
    </w:p>
    <w:p w14:paraId="134DC8F8" w14:textId="77777777" w:rsidR="002B0A8E" w:rsidRDefault="002B0A8E">
      <w:pPr>
        <w:pStyle w:val="Rubrik2"/>
      </w:pPr>
      <w:r>
        <w:t>Externkontroll</w:t>
      </w:r>
    </w:p>
    <w:p w14:paraId="2A239981" w14:textId="77777777" w:rsidR="00DC64D5" w:rsidRDefault="00DC64D5" w:rsidP="000D195E">
      <w:pPr>
        <w:keepNext w:val="0"/>
      </w:pPr>
      <w:r>
        <w:t>Metodens riktighet valideras med hjälp av extern kvalitetssäkring.</w:t>
      </w:r>
      <w:r>
        <w:br/>
        <w:t>EQUALIS program för Hemoglobin A</w:t>
      </w:r>
      <w:r>
        <w:rPr>
          <w:position w:val="-6"/>
        </w:rPr>
        <w:t>1c</w:t>
      </w:r>
      <w:r>
        <w:t>. Utskick tio gånger per år. Internkontrollernas resultat samt patientmedianvärdena används vid långtidsvalidering.</w:t>
      </w:r>
    </w:p>
    <w:p w14:paraId="32C4A150" w14:textId="0253B932" w:rsidR="00BA16C2" w:rsidRDefault="00BA16C2">
      <w:pPr>
        <w:keepNext w:val="0"/>
        <w:spacing w:before="0" w:after="0"/>
        <w:ind w:left="0"/>
        <w:rPr>
          <w:b/>
          <w:kern w:val="28"/>
          <w:sz w:val="24"/>
        </w:rPr>
      </w:pPr>
    </w:p>
    <w:p w14:paraId="3C6D3D6C" w14:textId="77777777" w:rsidR="002B0A8E" w:rsidRDefault="002B0A8E">
      <w:pPr>
        <w:pStyle w:val="Rubrik1"/>
      </w:pPr>
      <w:r>
        <w:t>Indikation/Medicinsk betydelse/Användningsområde</w:t>
      </w:r>
    </w:p>
    <w:p w14:paraId="40EF75A1" w14:textId="3D806E84" w:rsidR="000D195E" w:rsidRPr="000D195E" w:rsidRDefault="00897606" w:rsidP="000D195E">
      <w:pPr>
        <w:pStyle w:val="Rubrik1"/>
        <w:ind w:left="1134"/>
        <w:rPr>
          <w:b w:val="0"/>
          <w:sz w:val="22"/>
          <w:szCs w:val="22"/>
        </w:rPr>
      </w:pPr>
      <w:r w:rsidRPr="000D195E">
        <w:rPr>
          <w:b w:val="0"/>
          <w:sz w:val="22"/>
          <w:szCs w:val="22"/>
        </w:rPr>
        <w:t>HbA1c speglar medelnivån för blodglukos under de senaste två till sex veckorna före provtagningstillfället.</w:t>
      </w:r>
      <w:r w:rsidR="000D195E" w:rsidRPr="000D195E">
        <w:rPr>
          <w:b w:val="0"/>
          <w:sz w:val="22"/>
          <w:szCs w:val="22"/>
        </w:rPr>
        <w:t xml:space="preserve"> Man har på nationell nivå beslutat att acceptera HbA1c som kompletterande metod för diagnostik av typ II dia</w:t>
      </w:r>
      <w:r w:rsidR="000D195E" w:rsidRPr="00850BF4">
        <w:rPr>
          <w:b w:val="0"/>
          <w:sz w:val="22"/>
          <w:szCs w:val="22"/>
        </w:rPr>
        <w:t>betes hos icke-gravida vuxna</w:t>
      </w:r>
      <w:r w:rsidR="000D195E" w:rsidRPr="000D195E">
        <w:rPr>
          <w:b w:val="0"/>
          <w:sz w:val="22"/>
          <w:szCs w:val="22"/>
        </w:rPr>
        <w:t xml:space="preserve">. Diagnoskriterier är två HbA1c-prov &gt;48 mmol/mol eller ett prov &gt;48 mmol/mol samtidigt som P-Glukos (fastande eller efter glukosbelastning) är över gränsen för diabetes. HbA1c &lt;48 mmol/mol utesluter inte diabetes. </w:t>
      </w:r>
    </w:p>
    <w:p w14:paraId="3534DE27" w14:textId="77777777" w:rsidR="0032772D" w:rsidRDefault="0032772D">
      <w:pPr>
        <w:pStyle w:val="Rubrik1"/>
      </w:pPr>
    </w:p>
    <w:p w14:paraId="463B5C97" w14:textId="77777777" w:rsidR="002B0A8E" w:rsidRDefault="002B0A8E">
      <w:pPr>
        <w:pStyle w:val="Rubrik1"/>
      </w:pPr>
      <w:r>
        <w:t>Metodprincip</w:t>
      </w:r>
    </w:p>
    <w:p w14:paraId="6E5BDDED" w14:textId="079F2E36" w:rsidR="002B0A8E" w:rsidRDefault="0050128E" w:rsidP="006D526F">
      <w:pPr>
        <w:keepNext w:val="0"/>
      </w:pPr>
      <w:r>
        <w:t xml:space="preserve">Capillarys 3 </w:t>
      </w:r>
      <w:r w:rsidR="003D5EC8">
        <w:t xml:space="preserve">är ett kapillärelektrofores-instrument. </w:t>
      </w:r>
      <w:r w:rsidR="003D5EC8">
        <w:br/>
        <w:t>Helblod från provet aspireras via ”cap-piercing”, varpå provet</w:t>
      </w:r>
      <w:r>
        <w:t xml:space="preserve"> </w:t>
      </w:r>
      <w:r w:rsidR="003D5EC8">
        <w:t xml:space="preserve">späds och </w:t>
      </w:r>
      <w:r>
        <w:t>hemolysera</w:t>
      </w:r>
      <w:r w:rsidR="003D5EC8">
        <w:t>s</w:t>
      </w:r>
      <w:r>
        <w:t xml:space="preserve"> automatiskt</w:t>
      </w:r>
      <w:r w:rsidR="003D5EC8">
        <w:t>.</w:t>
      </w:r>
      <w:r>
        <w:t xml:space="preserve"> </w:t>
      </w:r>
      <w:r w:rsidR="003D5EC8">
        <w:t>Det hemolyserade p</w:t>
      </w:r>
      <w:r>
        <w:t>rovet injiceras i kapillärens anodände</w:t>
      </w:r>
      <w:r w:rsidR="00E758FA">
        <w:t>, varpå en migrationsbuffert (pH 9</w:t>
      </w:r>
      <w:r w:rsidR="00A854D7">
        <w:t>,</w:t>
      </w:r>
      <w:r w:rsidR="00E758FA">
        <w:t>4) tillförs</w:t>
      </w:r>
      <w:r>
        <w:t>. En högvoltsspänning läggs över kapillärerna. Ett elektroosmotiskt flöde uppstår genom att positivt laddade joner lägger sig mot kapillärens negativt laddade vä</w:t>
      </w:r>
      <w:r w:rsidR="003D5EC8">
        <w:t>gg vilket medför att Hb-varianterna</w:t>
      </w:r>
      <w:r>
        <w:t xml:space="preserve"> </w:t>
      </w:r>
      <w:r w:rsidR="003D5EC8">
        <w:t xml:space="preserve">separeras genom </w:t>
      </w:r>
      <w:r>
        <w:t>migrer</w:t>
      </w:r>
      <w:r w:rsidR="003D5EC8">
        <w:t>ing</w:t>
      </w:r>
      <w:r>
        <w:t xml:space="preserve"> mot katodänden. Vid kapillärens katodände detekteras </w:t>
      </w:r>
      <w:r w:rsidR="003D5EC8">
        <w:t>varianterna</w:t>
      </w:r>
      <w:r>
        <w:t xml:space="preserve"> vid </w:t>
      </w:r>
      <w:r w:rsidR="003D5EC8">
        <w:t>415</w:t>
      </w:r>
      <w:r>
        <w:t xml:space="preserve"> nm.</w:t>
      </w:r>
    </w:p>
    <w:p w14:paraId="324F3F0C" w14:textId="77777777" w:rsidR="00A854D7" w:rsidRDefault="00A854D7" w:rsidP="006D526F">
      <w:pPr>
        <w:keepNext w:val="0"/>
      </w:pPr>
    </w:p>
    <w:p w14:paraId="1A652DA4" w14:textId="00BC787B" w:rsidR="00A854D7" w:rsidRDefault="0032772D" w:rsidP="00A854D7">
      <w:pPr>
        <w:keepNext w:val="0"/>
      </w:pPr>
      <w:r>
        <w:t>Glykeringen uppstår genom att g</w:t>
      </w:r>
      <w:r w:rsidR="00A854D7">
        <w:t xml:space="preserve">lukos reagerar med bland annat aminogruppen i aminosyran valin i hemoglobinets </w:t>
      </w:r>
      <w:r w:rsidR="00A854D7">
        <w:fldChar w:fldCharType="begin"/>
      </w:r>
      <w:r w:rsidR="00A854D7">
        <w:instrText>\SYMBOL 98 \f "Symbol"</w:instrText>
      </w:r>
      <w:r w:rsidR="00A854D7">
        <w:fldChar w:fldCharType="end"/>
      </w:r>
      <w:r w:rsidR="00A854D7">
        <w:t>-kedjor i en icke enzymatisk reaktion enligt nedan. Härigenom kommer B-glukoskoncentrationen att bestämma jämvikten enligt massverkans lag, förutsatt att B-Hb koncentrationen håller sig tämligen konstant, vilket den i regel gör.</w:t>
      </w:r>
    </w:p>
    <w:p w14:paraId="58512578" w14:textId="30639F25" w:rsidR="00A854D7" w:rsidRDefault="00A854D7" w:rsidP="00A854D7">
      <w:pPr>
        <w:keepNext w:val="0"/>
      </w:pPr>
      <w:r>
        <w:rPr>
          <w:noProof/>
          <w:lang w:eastAsia="sv-SE"/>
        </w:rPr>
        <w:drawing>
          <wp:inline distT="0" distB="0" distL="0" distR="0" wp14:anchorId="78DD0B21" wp14:editId="5300F623">
            <wp:extent cx="3672000" cy="5976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59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26BFA" w14:textId="77777777" w:rsidR="00A854D7" w:rsidRDefault="00A854D7" w:rsidP="006D526F">
      <w:pPr>
        <w:keepNext w:val="0"/>
      </w:pPr>
    </w:p>
    <w:p w14:paraId="555DBB77" w14:textId="77777777" w:rsidR="002B0A8E" w:rsidRPr="00E758FA" w:rsidRDefault="002B0A8E">
      <w:pPr>
        <w:pStyle w:val="Rubrik2"/>
      </w:pPr>
      <w:r w:rsidRPr="00E758FA">
        <w:t>Mätintervall</w:t>
      </w:r>
    </w:p>
    <w:p w14:paraId="07EDB381" w14:textId="77777777" w:rsidR="00E758FA" w:rsidRDefault="00E758FA" w:rsidP="000D195E">
      <w:pPr>
        <w:keepNext w:val="0"/>
      </w:pPr>
      <w:r>
        <w:t>18 – 166 mmol/mol.</w:t>
      </w:r>
    </w:p>
    <w:p w14:paraId="270B6336" w14:textId="77777777" w:rsidR="000D195E" w:rsidRDefault="000D195E" w:rsidP="000D195E">
      <w:pPr>
        <w:keepNext w:val="0"/>
      </w:pPr>
    </w:p>
    <w:p w14:paraId="450C0539" w14:textId="77777777" w:rsidR="002B0A8E" w:rsidRDefault="002B0A8E">
      <w:pPr>
        <w:pStyle w:val="Rubrik2"/>
      </w:pPr>
      <w:r>
        <w:t>Storhet</w:t>
      </w:r>
    </w:p>
    <w:p w14:paraId="79313FBC" w14:textId="77777777" w:rsidR="0050128E" w:rsidRDefault="0050128E" w:rsidP="000D195E">
      <w:pPr>
        <w:keepNext w:val="0"/>
      </w:pPr>
      <w:r>
        <w:t>Relativ massfraktion (mmol/mol).</w:t>
      </w:r>
    </w:p>
    <w:p w14:paraId="7166FBF1" w14:textId="77777777" w:rsidR="002B0A8E" w:rsidRDefault="002B0A8E">
      <w:pPr>
        <w:pStyle w:val="Rubrik1"/>
      </w:pPr>
      <w:r>
        <w:lastRenderedPageBreak/>
        <w:t>Mätosäkerhet</w:t>
      </w:r>
    </w:p>
    <w:p w14:paraId="16DC3514" w14:textId="77777777" w:rsidR="002B0A8E" w:rsidRDefault="002B0A8E" w:rsidP="006D526F">
      <w:pPr>
        <w:keepNext w:val="0"/>
      </w:pPr>
      <w:r>
        <w:t>Rutiner för hur mätosäkerheten tas fram beskrivs i Verksamhetshandboken kapitel 6. Mätosäkerhet vid två nivåer finns angivet i ett separat dokument för hela KKF.</w:t>
      </w:r>
    </w:p>
    <w:p w14:paraId="578E77D4" w14:textId="77777777" w:rsidR="002B0A8E" w:rsidRDefault="002B0A8E">
      <w:pPr>
        <w:pStyle w:val="Rubrik1"/>
      </w:pPr>
      <w:r>
        <w:t>”Bra att veta”</w:t>
      </w:r>
    </w:p>
    <w:p w14:paraId="0F97ED30" w14:textId="33225341" w:rsidR="00893127" w:rsidRDefault="00893127" w:rsidP="000D195E">
      <w:pPr>
        <w:keepNext w:val="0"/>
      </w:pPr>
      <w:r>
        <w:t xml:space="preserve">Lite motsägelsefullt till </w:t>
      </w:r>
      <w:r w:rsidR="0032772D">
        <w:t xml:space="preserve">interferensdata </w:t>
      </w:r>
      <w:r>
        <w:t>ovan finns det en studie (2) som påvisar att närvaro av mer än 10% fetalt Hb (HbF) kommer ge falskt låga HbA1c-värden</w:t>
      </w:r>
      <w:r w:rsidR="0094482A">
        <w:t xml:space="preserve"> mätt med HPLC-metod</w:t>
      </w:r>
      <w:r>
        <w:t>, vilket gör HbA1c till en dålig markör för glykemisk kontroll hos spädbarn.</w:t>
      </w:r>
    </w:p>
    <w:p w14:paraId="527316DD" w14:textId="77777777" w:rsidR="00893127" w:rsidRDefault="00893127" w:rsidP="000D195E">
      <w:pPr>
        <w:keepNext w:val="0"/>
      </w:pPr>
    </w:p>
    <w:p w14:paraId="2441009E" w14:textId="69E60F1F" w:rsidR="00E758FA" w:rsidRDefault="00E758FA" w:rsidP="000D195E">
      <w:pPr>
        <w:keepNext w:val="0"/>
      </w:pPr>
      <w:r>
        <w:t xml:space="preserve">En ambitiös sammanställning hur olika HbA1c-metoder påverkas av Hb-varianter återfinns på </w:t>
      </w:r>
      <w:hyperlink r:id="rId13" w:history="1">
        <w:r>
          <w:rPr>
            <w:rStyle w:val="Hyperlnk"/>
          </w:rPr>
          <w:t>www.ngsp.org/interf.asp</w:t>
        </w:r>
      </w:hyperlink>
    </w:p>
    <w:p w14:paraId="6CC16930" w14:textId="77777777" w:rsidR="002B0A8E" w:rsidRDefault="002B0A8E">
      <w:pPr>
        <w:pStyle w:val="Rubrik1"/>
      </w:pPr>
      <w:r>
        <w:t>Hänvisningar</w:t>
      </w:r>
    </w:p>
    <w:p w14:paraId="52ED54B1" w14:textId="77777777" w:rsidR="002B0A8E" w:rsidRDefault="002B0A8E">
      <w:pPr>
        <w:pStyle w:val="Rubrik2"/>
      </w:pPr>
      <w:r>
        <w:t>Bilagor</w:t>
      </w:r>
    </w:p>
    <w:p w14:paraId="75D6E6AF" w14:textId="77777777" w:rsidR="00F806E4" w:rsidRPr="00F806E4" w:rsidRDefault="00F806E4" w:rsidP="000D195E">
      <w:pPr>
        <w:keepNext w:val="0"/>
      </w:pPr>
      <w:r>
        <w:t>-</w:t>
      </w:r>
    </w:p>
    <w:p w14:paraId="505CC65A" w14:textId="77777777" w:rsidR="002B0A8E" w:rsidRDefault="002B0A8E">
      <w:pPr>
        <w:pStyle w:val="Rubrik2"/>
      </w:pPr>
      <w:r>
        <w:t>Relaterade dokument</w:t>
      </w:r>
    </w:p>
    <w:p w14:paraId="1232516D" w14:textId="77777777" w:rsidR="00F806E4" w:rsidRPr="00F806E4" w:rsidRDefault="00F806E4" w:rsidP="000D195E">
      <w:pPr>
        <w:keepNext w:val="0"/>
      </w:pPr>
      <w:r>
        <w:t>-</w:t>
      </w:r>
    </w:p>
    <w:p w14:paraId="2F6A7733" w14:textId="77777777" w:rsidR="002B0A8E" w:rsidRDefault="002B0A8E">
      <w:pPr>
        <w:pStyle w:val="Rubrik2"/>
      </w:pPr>
      <w:r>
        <w:t>Referenser</w:t>
      </w:r>
    </w:p>
    <w:p w14:paraId="226BA6A3" w14:textId="77777777" w:rsidR="00893127" w:rsidRDefault="00893127" w:rsidP="000D195E">
      <w:pPr>
        <w:keepNext w:val="0"/>
        <w:numPr>
          <w:ilvl w:val="0"/>
          <w:numId w:val="37"/>
        </w:numPr>
        <w:tabs>
          <w:tab w:val="clear" w:pos="360"/>
          <w:tab w:val="num" w:pos="1494"/>
        </w:tabs>
        <w:ind w:left="1494"/>
      </w:pPr>
      <w:r>
        <w:rPr>
          <w:snapToGrid w:val="0"/>
          <w:color w:val="000000"/>
          <w:lang w:val="en-GB" w:eastAsia="sv-SE"/>
        </w:rPr>
        <w:t xml:space="preserve">Rödöö P, Ridefelt P, Aldrimer M, Niklasson F, Gustafsson J, Hellberg D. Population-based pediatric reference intervals for HbA1c, bilirubin, albumin, CRP, myoglobin and serum enzymes. </w:t>
      </w:r>
      <w:r>
        <w:rPr>
          <w:snapToGrid w:val="0"/>
          <w:color w:val="000000"/>
          <w:lang w:eastAsia="sv-SE"/>
        </w:rPr>
        <w:t>Scand J Clin Lab Invest 2013; 73:361-7</w:t>
      </w:r>
      <w:r>
        <w:t xml:space="preserve"> </w:t>
      </w:r>
    </w:p>
    <w:p w14:paraId="16E47D28" w14:textId="77777777" w:rsidR="00893127" w:rsidRPr="008A4492" w:rsidRDefault="00893127" w:rsidP="000D195E">
      <w:pPr>
        <w:keepNext w:val="0"/>
        <w:numPr>
          <w:ilvl w:val="0"/>
          <w:numId w:val="37"/>
        </w:numPr>
        <w:tabs>
          <w:tab w:val="clear" w:pos="360"/>
          <w:tab w:val="num" w:pos="1494"/>
        </w:tabs>
        <w:ind w:left="1494"/>
        <w:rPr>
          <w:lang w:val="en-US"/>
        </w:rPr>
      </w:pPr>
      <w:r>
        <w:rPr>
          <w:lang w:val="en-GB"/>
        </w:rPr>
        <w:t xml:space="preserve">Suzuki S et al. Glycated albumin but not HbA1c reflects glycaemic control in patients with neonatal diabetes mellitus. </w:t>
      </w:r>
      <w:r w:rsidRPr="008A4492">
        <w:rPr>
          <w:lang w:val="en-US"/>
        </w:rPr>
        <w:t>Diabetologia. 2011 Sep;54(9):2247-53.</w:t>
      </w:r>
    </w:p>
    <w:p w14:paraId="56A21503" w14:textId="77777777" w:rsidR="002B0A8E" w:rsidRPr="008A4492" w:rsidRDefault="002B0A8E">
      <w:pPr>
        <w:pStyle w:val="Rubrik2"/>
        <w:rPr>
          <w:lang w:val="en-US"/>
        </w:rPr>
      </w:pPr>
      <w:r w:rsidRPr="008A4492">
        <w:rPr>
          <w:lang w:val="en-US"/>
        </w:rPr>
        <w:t>Valideringar</w:t>
      </w:r>
    </w:p>
    <w:p w14:paraId="230CF7BF" w14:textId="39DEF5A0" w:rsidR="002B0A8E" w:rsidRPr="008A4492" w:rsidRDefault="008933A1" w:rsidP="006D526F">
      <w:pPr>
        <w:keepNext w:val="0"/>
        <w:rPr>
          <w:lang w:val="en-US"/>
        </w:rPr>
      </w:pPr>
      <w:hyperlink r:id="rId14" w:history="1">
        <w:r w:rsidR="00987B82" w:rsidRPr="008A4492">
          <w:rPr>
            <w:rStyle w:val="Hyperlnk"/>
            <w:lang w:val="en-US"/>
          </w:rPr>
          <w:t>http://cent-db-01/centuri-dat-betrodd/ViewItem.aspx?regno=AL15977</w:t>
        </w:r>
      </w:hyperlink>
    </w:p>
    <w:p w14:paraId="43892431" w14:textId="77777777" w:rsidR="00987B82" w:rsidRPr="008A4492" w:rsidRDefault="00987B82">
      <w:pPr>
        <w:keepNext w:val="0"/>
        <w:rPr>
          <w:sz w:val="24"/>
          <w:lang w:val="en-US"/>
        </w:rPr>
      </w:pPr>
    </w:p>
    <w:p w14:paraId="7F3E426A" w14:textId="77777777" w:rsidR="002B0A8E" w:rsidRDefault="002B0A8E">
      <w:pPr>
        <w:pStyle w:val="Rubrik1"/>
      </w:pPr>
      <w:r>
        <w:t>Dokumenthistorik</w:t>
      </w:r>
    </w:p>
    <w:tbl>
      <w:tblPr>
        <w:tblW w:w="0" w:type="auto"/>
        <w:tblInd w:w="10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245"/>
        <w:gridCol w:w="2126"/>
      </w:tblGrid>
      <w:tr w:rsidR="002B0A8E" w14:paraId="47F2629D" w14:textId="77777777">
        <w:tc>
          <w:tcPr>
            <w:tcW w:w="850" w:type="dxa"/>
          </w:tcPr>
          <w:p w14:paraId="1286DBD0" w14:textId="77777777" w:rsidR="002B0A8E" w:rsidRDefault="002B0A8E" w:rsidP="001C24CC">
            <w:pPr>
              <w:pStyle w:val="Dokumenthistorik"/>
            </w:pPr>
            <w:r>
              <w:t>Version</w:t>
            </w:r>
          </w:p>
        </w:tc>
        <w:tc>
          <w:tcPr>
            <w:tcW w:w="5245" w:type="dxa"/>
          </w:tcPr>
          <w:p w14:paraId="5AAB856A" w14:textId="77777777" w:rsidR="002B0A8E" w:rsidRDefault="002B0A8E" w:rsidP="001C24CC">
            <w:pPr>
              <w:pStyle w:val="Dokumenthistorik"/>
            </w:pPr>
            <w:r>
              <w:t>Orsak / ändring</w:t>
            </w:r>
          </w:p>
        </w:tc>
        <w:tc>
          <w:tcPr>
            <w:tcW w:w="2126" w:type="dxa"/>
          </w:tcPr>
          <w:p w14:paraId="012A1EF6" w14:textId="77777777" w:rsidR="002B0A8E" w:rsidRDefault="002B0A8E" w:rsidP="001C24CC">
            <w:pPr>
              <w:pStyle w:val="Dokumenthistorik"/>
            </w:pPr>
            <w:r>
              <w:t>Senast ändrad av</w:t>
            </w:r>
          </w:p>
        </w:tc>
      </w:tr>
      <w:tr w:rsidR="002B0A8E" w14:paraId="5C8A60AF" w14:textId="77777777">
        <w:tc>
          <w:tcPr>
            <w:tcW w:w="850" w:type="dxa"/>
          </w:tcPr>
          <w:p w14:paraId="38BDF10F" w14:textId="77777777" w:rsidR="002B0A8E" w:rsidRDefault="002B0A8E" w:rsidP="001C24CC">
            <w:pPr>
              <w:pStyle w:val="Dokumenthistorik"/>
            </w:pPr>
            <w:r>
              <w:t>1</w:t>
            </w:r>
          </w:p>
        </w:tc>
        <w:tc>
          <w:tcPr>
            <w:tcW w:w="5245" w:type="dxa"/>
          </w:tcPr>
          <w:p w14:paraId="69D5B173" w14:textId="77777777" w:rsidR="001C24CC" w:rsidRDefault="00987B82" w:rsidP="001C24CC">
            <w:pPr>
              <w:pStyle w:val="Dokumenthistorik"/>
            </w:pPr>
            <w:r>
              <w:t>Ny metod på nytt instrument, från Cobas C till Capillarys 3</w:t>
            </w:r>
          </w:p>
        </w:tc>
        <w:tc>
          <w:tcPr>
            <w:tcW w:w="2126" w:type="dxa"/>
          </w:tcPr>
          <w:p w14:paraId="46058349" w14:textId="77777777" w:rsidR="002B0A8E" w:rsidRDefault="00987B82" w:rsidP="001C24CC">
            <w:pPr>
              <w:pStyle w:val="Dokumenthistorik"/>
            </w:pPr>
            <w:r>
              <w:t>Niclas Rollborn</w:t>
            </w:r>
          </w:p>
        </w:tc>
      </w:tr>
      <w:tr w:rsidR="00E346CF" w14:paraId="338D6395" w14:textId="77777777">
        <w:tc>
          <w:tcPr>
            <w:tcW w:w="850" w:type="dxa"/>
          </w:tcPr>
          <w:p w14:paraId="392192A6" w14:textId="36A52063" w:rsidR="00E346CF" w:rsidRDefault="00E346CF" w:rsidP="001C24CC">
            <w:pPr>
              <w:pStyle w:val="Dokumenthistorik"/>
            </w:pPr>
            <w:r>
              <w:t>2</w:t>
            </w:r>
          </w:p>
        </w:tc>
        <w:tc>
          <w:tcPr>
            <w:tcW w:w="5245" w:type="dxa"/>
          </w:tcPr>
          <w:p w14:paraId="5803C3B1" w14:textId="07B2C227" w:rsidR="00E346CF" w:rsidRDefault="00E346CF" w:rsidP="001C24CC">
            <w:pPr>
              <w:pStyle w:val="Dokumenthistorik"/>
            </w:pPr>
            <w:r>
              <w:t>Komplettering av spårbarhet</w:t>
            </w:r>
            <w:r w:rsidR="00454487">
              <w:t xml:space="preserve"> på kalibratorer</w:t>
            </w:r>
          </w:p>
        </w:tc>
        <w:tc>
          <w:tcPr>
            <w:tcW w:w="2126" w:type="dxa"/>
          </w:tcPr>
          <w:p w14:paraId="237751E4" w14:textId="7B3F9EC4" w:rsidR="00E346CF" w:rsidRDefault="00E346CF" w:rsidP="001C24CC">
            <w:pPr>
              <w:pStyle w:val="Dokumenthistorik"/>
            </w:pPr>
            <w:r>
              <w:t>Torbjörn Åkerfeldt</w:t>
            </w:r>
          </w:p>
        </w:tc>
      </w:tr>
      <w:tr w:rsidR="00094F3E" w14:paraId="4E17C859" w14:textId="77777777">
        <w:tc>
          <w:tcPr>
            <w:tcW w:w="850" w:type="dxa"/>
          </w:tcPr>
          <w:p w14:paraId="6E606D26" w14:textId="55839030" w:rsidR="00094F3E" w:rsidRDefault="00094F3E" w:rsidP="001C24CC">
            <w:pPr>
              <w:pStyle w:val="Dokumenthistorik"/>
            </w:pPr>
            <w:r>
              <w:t>3</w:t>
            </w:r>
          </w:p>
        </w:tc>
        <w:tc>
          <w:tcPr>
            <w:tcW w:w="5245" w:type="dxa"/>
          </w:tcPr>
          <w:p w14:paraId="044835A8" w14:textId="58DEA644" w:rsidR="00094F3E" w:rsidRDefault="00094F3E" w:rsidP="001C24CC">
            <w:pPr>
              <w:pStyle w:val="Dokumenthistorik"/>
            </w:pPr>
            <w:r>
              <w:t xml:space="preserve">Justerat svars kommentarer och lagt till </w:t>
            </w:r>
            <w:r w:rsidR="00EF50FA">
              <w:t xml:space="preserve">ny </w:t>
            </w:r>
            <w:r>
              <w:t>interferens.</w:t>
            </w:r>
          </w:p>
        </w:tc>
        <w:tc>
          <w:tcPr>
            <w:tcW w:w="2126" w:type="dxa"/>
          </w:tcPr>
          <w:p w14:paraId="613F2268" w14:textId="143DC6CD" w:rsidR="00094F3E" w:rsidRDefault="00EF50FA" w:rsidP="001C24CC">
            <w:pPr>
              <w:pStyle w:val="Dokumenthistorik"/>
            </w:pPr>
            <w:r>
              <w:t>Helena Hyltén</w:t>
            </w:r>
          </w:p>
        </w:tc>
      </w:tr>
    </w:tbl>
    <w:p w14:paraId="43ABF942" w14:textId="68618EBC" w:rsidR="002B0A8E" w:rsidRDefault="002B0A8E" w:rsidP="000D195E"/>
    <w:p w14:paraId="37863118" w14:textId="77777777" w:rsidR="002B0A8E" w:rsidRDefault="002B0A8E" w:rsidP="00BA16C2">
      <w:pPr>
        <w:keepNext w:val="0"/>
      </w:pPr>
    </w:p>
    <w:sectPr w:rsidR="002B0A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426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5074" w14:textId="77777777" w:rsidR="008933A1" w:rsidRDefault="008933A1">
      <w:r>
        <w:separator/>
      </w:r>
    </w:p>
  </w:endnote>
  <w:endnote w:type="continuationSeparator" w:id="0">
    <w:p w14:paraId="191290C7" w14:textId="77777777" w:rsidR="008933A1" w:rsidRDefault="0089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05F6" w14:textId="77777777" w:rsidR="00B9018D" w:rsidRDefault="00B901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3157" w14:textId="77777777" w:rsidR="002B0A8E" w:rsidRDefault="002B0A8E">
    <w:pPr>
      <w:pStyle w:val="Sidfot"/>
      <w:rPr>
        <w:rFonts w:ascii="Arial" w:hAnsi="Arial"/>
        <w:sz w:val="12"/>
      </w:rPr>
    </w:pPr>
    <w:r>
      <w:rPr>
        <w:rFonts w:ascii="Arial" w:hAnsi="Arial"/>
        <w:snapToGrid w:val="0"/>
        <w:sz w:val="12"/>
        <w:lang w:eastAsia="sv-SE"/>
      </w:rPr>
      <w:tab/>
      <w:t>Original lagras elektroniskt. Giltig utskrift på papper med blå kant.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AB31" w14:textId="77777777" w:rsidR="00B9018D" w:rsidRDefault="00B901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D84D" w14:textId="77777777" w:rsidR="008933A1" w:rsidRDefault="008933A1">
      <w:r>
        <w:separator/>
      </w:r>
    </w:p>
  </w:footnote>
  <w:footnote w:type="continuationSeparator" w:id="0">
    <w:p w14:paraId="4703C760" w14:textId="77777777" w:rsidR="008933A1" w:rsidRDefault="0089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23E3B" w14:textId="77777777" w:rsidR="00B9018D" w:rsidRDefault="00B901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06C3F" w14:textId="0495A2D8" w:rsidR="002B0A8E" w:rsidRDefault="002B0A8E">
    <w:pPr>
      <w:pStyle w:val="Sidhuvud"/>
      <w:jc w:val="right"/>
    </w:pPr>
    <w:r>
      <w:t xml:space="preserve">sida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B2BA8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 xml:space="preserve"> </w:t>
    </w:r>
    <w: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B2BA8">
      <w:rPr>
        <w:rStyle w:val="Sidnummer"/>
        <w:noProof/>
      </w:rPr>
      <w:t>6</w:t>
    </w:r>
    <w:r>
      <w:rPr>
        <w:rStyle w:val="Sidnummer"/>
      </w:rPr>
      <w:fldChar w:fldCharType="end"/>
    </w:r>
    <w:r>
      <w:rPr>
        <w:rStyle w:val="Sidnummer"/>
      </w:rPr>
      <w:t>)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1108"/>
      <w:gridCol w:w="3070"/>
    </w:tblGrid>
    <w:tr w:rsidR="002B0A8E" w14:paraId="122A01CF" w14:textId="77777777">
      <w:tc>
        <w:tcPr>
          <w:tcW w:w="5032" w:type="dxa"/>
        </w:tcPr>
        <w:p w14:paraId="16B56DB4" w14:textId="77777777" w:rsidR="002B0A8E" w:rsidRDefault="002B0A8E">
          <w:pPr>
            <w:pStyle w:val="Sidhuvud"/>
          </w:pPr>
          <w:r>
            <w:t>Akademiska laboratoriet</w:t>
          </w:r>
        </w:p>
      </w:tc>
      <w:tc>
        <w:tcPr>
          <w:tcW w:w="1108" w:type="dxa"/>
        </w:tcPr>
        <w:p w14:paraId="493E4A70" w14:textId="77777777" w:rsidR="002B0A8E" w:rsidRDefault="002B0A8E">
          <w:pPr>
            <w:pStyle w:val="Sidhuvud"/>
            <w:jc w:val="right"/>
          </w:pPr>
          <w:r>
            <w:t>ID:</w:t>
          </w:r>
        </w:p>
      </w:tc>
      <w:tc>
        <w:tcPr>
          <w:tcW w:w="3070" w:type="dxa"/>
        </w:tcPr>
        <w:p w14:paraId="75BA966E" w14:textId="169A268A" w:rsidR="002B0A8E" w:rsidRDefault="00B4700F">
          <w:pPr>
            <w:pStyle w:val="Sidhuvud"/>
          </w:pPr>
          <w:fldSimple w:instr=" DOCPROPERTY &quot;DocNo&quot;  \* MERGEFORMAT ">
            <w:r w:rsidR="00764E9A">
              <w:t>AL15980-3</w:t>
            </w:r>
          </w:fldSimple>
        </w:p>
      </w:tc>
    </w:tr>
    <w:tr w:rsidR="002B0A8E" w14:paraId="49E290E7" w14:textId="77777777">
      <w:tc>
        <w:tcPr>
          <w:tcW w:w="5032" w:type="dxa"/>
        </w:tcPr>
        <w:p w14:paraId="709421D0" w14:textId="77777777" w:rsidR="002B0A8E" w:rsidRDefault="002B0A8E">
          <w:pPr>
            <w:pStyle w:val="Sidhuvud"/>
          </w:pPr>
          <w:r>
            <w:t>Klinisk kemi och farmakologi</w:t>
          </w:r>
        </w:p>
      </w:tc>
      <w:tc>
        <w:tcPr>
          <w:tcW w:w="1108" w:type="dxa"/>
        </w:tcPr>
        <w:p w14:paraId="7DE20A91" w14:textId="77777777" w:rsidR="002B0A8E" w:rsidRDefault="002B0A8E">
          <w:pPr>
            <w:pStyle w:val="Sidhuvud"/>
            <w:jc w:val="right"/>
          </w:pPr>
          <w:r>
            <w:t>Giltigt från:</w:t>
          </w:r>
        </w:p>
      </w:tc>
      <w:tc>
        <w:tcPr>
          <w:tcW w:w="3070" w:type="dxa"/>
        </w:tcPr>
        <w:p w14:paraId="63BC4CFE" w14:textId="51F9C2C2" w:rsidR="002B0A8E" w:rsidRDefault="00F70532">
          <w:pPr>
            <w:pStyle w:val="Sidhuvud"/>
          </w:pPr>
          <w:fldSimple w:instr=" DOCPROPERTY &quot;ValidFrom&quot;  \* MERGEFORMAT ">
            <w:r w:rsidR="00764E9A">
              <w:t>2018-02-16</w:t>
            </w:r>
          </w:fldSimple>
        </w:p>
      </w:tc>
    </w:tr>
    <w:tr w:rsidR="002B0A8E" w14:paraId="5AD29C82" w14:textId="77777777">
      <w:tc>
        <w:tcPr>
          <w:tcW w:w="5032" w:type="dxa"/>
        </w:tcPr>
        <w:p w14:paraId="13DDC596" w14:textId="30C34DB4" w:rsidR="002B0A8E" w:rsidRDefault="00B4700F">
          <w:pPr>
            <w:pStyle w:val="Sidhuvud"/>
          </w:pPr>
          <w:fldSimple w:instr=" DOCPROPERTY &quot;Category&quot;  \* MERGEFORMAT ">
            <w:r w:rsidR="00764E9A">
              <w:t>Metodbeskrivning KKF</w:t>
            </w:r>
          </w:fldSimple>
        </w:p>
      </w:tc>
      <w:tc>
        <w:tcPr>
          <w:tcW w:w="1108" w:type="dxa"/>
        </w:tcPr>
        <w:p w14:paraId="3DF1D2E6" w14:textId="77777777" w:rsidR="002B0A8E" w:rsidRDefault="002B0A8E">
          <w:pPr>
            <w:pStyle w:val="Sidhuvud"/>
            <w:jc w:val="right"/>
          </w:pPr>
          <w:r>
            <w:rPr>
              <w:lang w:eastAsia="sv-SE"/>
            </w:rPr>
            <w:t>Fastställd av:</w:t>
          </w:r>
        </w:p>
      </w:tc>
      <w:tc>
        <w:tcPr>
          <w:tcW w:w="3070" w:type="dxa"/>
        </w:tcPr>
        <w:p w14:paraId="01349F5E" w14:textId="4CE4D28E" w:rsidR="002B0A8E" w:rsidRDefault="00F70532">
          <w:pPr>
            <w:pStyle w:val="Sidhuvud"/>
          </w:pPr>
          <w:fldSimple w:instr=" DOCPROPERTY &quot;ApprovedBy&quot;  \* MERGEFORMAT ">
            <w:r w:rsidR="00764E9A">
              <w:t>Torbjörn Åkerfeldt</w:t>
            </w:r>
          </w:fldSimple>
        </w:p>
      </w:tc>
    </w:tr>
    <w:tr w:rsidR="002B0A8E" w14:paraId="74A6D2C8" w14:textId="77777777">
      <w:trPr>
        <w:cantSplit/>
      </w:trPr>
      <w:tc>
        <w:tcPr>
          <w:tcW w:w="9210" w:type="dxa"/>
          <w:gridSpan w:val="3"/>
        </w:tcPr>
        <w:p w14:paraId="5CCB0C61" w14:textId="0507BBAB" w:rsidR="002B0A8E" w:rsidRDefault="002B0A8E">
          <w:pPr>
            <w:pStyle w:val="Sidhuvud"/>
            <w:spacing w:before="12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TITLE  \* MERGEFORMAT </w:instrText>
          </w:r>
          <w:r>
            <w:rPr>
              <w:b/>
            </w:rPr>
            <w:fldChar w:fldCharType="separate"/>
          </w:r>
          <w:r w:rsidR="00764E9A">
            <w:rPr>
              <w:b/>
            </w:rPr>
            <w:t>Hemoglobin A1c, B- (</w:t>
          </w:r>
          <w:proofErr w:type="spellStart"/>
          <w:r w:rsidR="00764E9A">
            <w:rPr>
              <w:b/>
            </w:rPr>
            <w:t>Capillarys</w:t>
          </w:r>
          <w:proofErr w:type="spellEnd"/>
          <w:r w:rsidR="00764E9A">
            <w:rPr>
              <w:b/>
            </w:rPr>
            <w:t xml:space="preserve"> 3)</w:t>
          </w:r>
          <w:r>
            <w:rPr>
              <w:b/>
            </w:rPr>
            <w:fldChar w:fldCharType="end"/>
          </w:r>
        </w:p>
      </w:tc>
    </w:tr>
  </w:tbl>
  <w:p w14:paraId="3EF131ED" w14:textId="77777777" w:rsidR="002B0A8E" w:rsidRDefault="002B0A8E">
    <w:pPr>
      <w:pStyle w:val="Sidhuvud"/>
      <w:rPr>
        <w:u w:val="single"/>
        <w:lang w:eastAsia="sv-SE"/>
      </w:rPr>
    </w:pPr>
    <w:r>
      <w:rPr>
        <w:u w:val="single"/>
        <w:lang w:eastAsia="sv-SE"/>
      </w:rPr>
      <w:tab/>
    </w:r>
  </w:p>
  <w:p w14:paraId="461520E5" w14:textId="77777777" w:rsidR="002B0A8E" w:rsidRDefault="002B0A8E">
    <w:pPr>
      <w:pStyle w:val="Sidhuvud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78C5" w14:textId="77777777" w:rsidR="00B9018D" w:rsidRDefault="00B901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BEE9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3"/>
    <w:multiLevelType w:val="singleLevel"/>
    <w:tmpl w:val="9B9E9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D44C72C"/>
    <w:lvl w:ilvl="0">
      <w:start w:val="1"/>
      <w:numFmt w:val="decimal"/>
      <w:pStyle w:val="Numreradlista"/>
      <w:lvlText w:val="%1."/>
      <w:lvlJc w:val="left"/>
      <w:pPr>
        <w:tabs>
          <w:tab w:val="num" w:pos="2552"/>
        </w:tabs>
        <w:ind w:left="2552" w:hanging="426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83B63C4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F2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9E76DA"/>
    <w:multiLevelType w:val="singleLevel"/>
    <w:tmpl w:val="9AD6A720"/>
    <w:lvl w:ilvl="0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6" w15:restartNumberingAfterBreak="0">
    <w:nsid w:val="226370DE"/>
    <w:multiLevelType w:val="singleLevel"/>
    <w:tmpl w:val="9AD6A720"/>
    <w:lvl w:ilvl="0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7" w15:restartNumberingAfterBreak="0">
    <w:nsid w:val="2C0E4EE8"/>
    <w:multiLevelType w:val="singleLevel"/>
    <w:tmpl w:val="69741998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8" w15:restartNumberingAfterBreak="0">
    <w:nsid w:val="2D235456"/>
    <w:multiLevelType w:val="hybridMultilevel"/>
    <w:tmpl w:val="55449840"/>
    <w:lvl w:ilvl="0" w:tplc="7B26E3A2">
      <w:start w:val="18"/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0492A4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0D55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146C5E"/>
    <w:multiLevelType w:val="singleLevel"/>
    <w:tmpl w:val="CD6AEFAE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12" w15:restartNumberingAfterBreak="0">
    <w:nsid w:val="38490684"/>
    <w:multiLevelType w:val="singleLevel"/>
    <w:tmpl w:val="4B767EA2"/>
    <w:lvl w:ilvl="0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</w:lvl>
  </w:abstractNum>
  <w:abstractNum w:abstractNumId="13" w15:restartNumberingAfterBreak="0">
    <w:nsid w:val="3E3F330D"/>
    <w:multiLevelType w:val="hybridMultilevel"/>
    <w:tmpl w:val="FFDE7A60"/>
    <w:lvl w:ilvl="0" w:tplc="12603B28">
      <w:start w:val="18"/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09B45D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217D6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6D50A2D"/>
    <w:multiLevelType w:val="singleLevel"/>
    <w:tmpl w:val="7590B150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17" w15:restartNumberingAfterBreak="0">
    <w:nsid w:val="4C330A6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C951B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573D6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0847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1E0D9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084BDD"/>
    <w:multiLevelType w:val="singleLevel"/>
    <w:tmpl w:val="8A4631F4"/>
    <w:lvl w:ilvl="0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23" w15:restartNumberingAfterBreak="0">
    <w:nsid w:val="5AC73B59"/>
    <w:multiLevelType w:val="singleLevel"/>
    <w:tmpl w:val="3AA40524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24" w15:restartNumberingAfterBreak="0">
    <w:nsid w:val="5F5E5BED"/>
    <w:multiLevelType w:val="singleLevel"/>
    <w:tmpl w:val="9AD6A720"/>
    <w:lvl w:ilvl="0">
      <w:start w:val="1"/>
      <w:numFmt w:val="bullet"/>
      <w:lvlText w:val="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25" w15:restartNumberingAfterBreak="0">
    <w:nsid w:val="60183C17"/>
    <w:multiLevelType w:val="singleLevel"/>
    <w:tmpl w:val="F89E6A44"/>
    <w:lvl w:ilvl="0">
      <w:start w:val="1"/>
      <w:numFmt w:val="decimal"/>
      <w:lvlText w:val="%1)"/>
      <w:lvlJc w:val="left"/>
      <w:pPr>
        <w:tabs>
          <w:tab w:val="num" w:pos="1494"/>
        </w:tabs>
        <w:ind w:left="1474" w:hanging="340"/>
      </w:pPr>
    </w:lvl>
  </w:abstractNum>
  <w:abstractNum w:abstractNumId="26" w15:restartNumberingAfterBreak="0">
    <w:nsid w:val="618A449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59561DF"/>
    <w:multiLevelType w:val="singleLevel"/>
    <w:tmpl w:val="7C66CB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87F101C"/>
    <w:multiLevelType w:val="singleLevel"/>
    <w:tmpl w:val="FB524106"/>
    <w:lvl w:ilvl="0"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hint="default"/>
      </w:rPr>
    </w:lvl>
  </w:abstractNum>
  <w:abstractNum w:abstractNumId="29" w15:restartNumberingAfterBreak="0">
    <w:nsid w:val="69AE05C8"/>
    <w:multiLevelType w:val="hybridMultilevel"/>
    <w:tmpl w:val="BD18CE38"/>
    <w:lvl w:ilvl="0" w:tplc="A6DA6470">
      <w:start w:val="18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7F3C7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153539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2BB4D3C"/>
    <w:multiLevelType w:val="singleLevel"/>
    <w:tmpl w:val="EB549B9A"/>
    <w:lvl w:ilvl="0">
      <w:start w:val="1"/>
      <w:numFmt w:val="bullet"/>
      <w:lvlText w:val="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33" w15:restartNumberingAfterBreak="0">
    <w:nsid w:val="741237CA"/>
    <w:multiLevelType w:val="hybridMultilevel"/>
    <w:tmpl w:val="A2BA33F4"/>
    <w:lvl w:ilvl="0" w:tplc="59AEFEB2">
      <w:start w:val="18"/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5F046C5"/>
    <w:multiLevelType w:val="singleLevel"/>
    <w:tmpl w:val="A6440870"/>
    <w:lvl w:ilvl="0">
      <w:start w:val="1"/>
      <w:numFmt w:val="bullet"/>
      <w:lvlText w:val="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35" w15:restartNumberingAfterBreak="0">
    <w:nsid w:val="7EBF496C"/>
    <w:multiLevelType w:val="singleLevel"/>
    <w:tmpl w:val="90C8B0E0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</w:abstractNum>
  <w:abstractNum w:abstractNumId="36" w15:restartNumberingAfterBreak="0">
    <w:nsid w:val="7FB9246B"/>
    <w:multiLevelType w:val="singleLevel"/>
    <w:tmpl w:val="7590B150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num w:numId="1">
    <w:abstractNumId w:val="27"/>
  </w:num>
  <w:num w:numId="2">
    <w:abstractNumId w:val="17"/>
  </w:num>
  <w:num w:numId="3">
    <w:abstractNumId w:val="30"/>
  </w:num>
  <w:num w:numId="4">
    <w:abstractNumId w:val="24"/>
  </w:num>
  <w:num w:numId="5">
    <w:abstractNumId w:val="20"/>
  </w:num>
  <w:num w:numId="6">
    <w:abstractNumId w:val="10"/>
  </w:num>
  <w:num w:numId="7">
    <w:abstractNumId w:val="2"/>
  </w:num>
  <w:num w:numId="8">
    <w:abstractNumId w:val="6"/>
  </w:num>
  <w:num w:numId="9">
    <w:abstractNumId w:val="19"/>
  </w:num>
  <w:num w:numId="10">
    <w:abstractNumId w:val="5"/>
  </w:num>
  <w:num w:numId="11">
    <w:abstractNumId w:val="18"/>
  </w:num>
  <w:num w:numId="12">
    <w:abstractNumId w:val="15"/>
  </w:num>
  <w:num w:numId="13">
    <w:abstractNumId w:val="14"/>
  </w:num>
  <w:num w:numId="14">
    <w:abstractNumId w:val="4"/>
  </w:num>
  <w:num w:numId="15">
    <w:abstractNumId w:val="21"/>
  </w:num>
  <w:num w:numId="16">
    <w:abstractNumId w:val="31"/>
  </w:num>
  <w:num w:numId="17">
    <w:abstractNumId w:val="9"/>
  </w:num>
  <w:num w:numId="18">
    <w:abstractNumId w:val="3"/>
  </w:num>
  <w:num w:numId="19">
    <w:abstractNumId w:val="16"/>
  </w:num>
  <w:num w:numId="20">
    <w:abstractNumId w:val="36"/>
  </w:num>
  <w:num w:numId="21">
    <w:abstractNumId w:val="1"/>
  </w:num>
  <w:num w:numId="22">
    <w:abstractNumId w:val="7"/>
  </w:num>
  <w:num w:numId="23">
    <w:abstractNumId w:val="11"/>
  </w:num>
  <w:num w:numId="24">
    <w:abstractNumId w:val="12"/>
  </w:num>
  <w:num w:numId="25">
    <w:abstractNumId w:val="0"/>
  </w:num>
  <w:num w:numId="26">
    <w:abstractNumId w:val="34"/>
  </w:num>
  <w:num w:numId="27">
    <w:abstractNumId w:val="22"/>
  </w:num>
  <w:num w:numId="28">
    <w:abstractNumId w:val="23"/>
  </w:num>
  <w:num w:numId="29">
    <w:abstractNumId w:val="32"/>
  </w:num>
  <w:num w:numId="30">
    <w:abstractNumId w:val="35"/>
  </w:num>
  <w:num w:numId="31">
    <w:abstractNumId w:val="28"/>
  </w:num>
  <w:num w:numId="32">
    <w:abstractNumId w:val="25"/>
  </w:num>
  <w:num w:numId="33">
    <w:abstractNumId w:val="29"/>
  </w:num>
  <w:num w:numId="34">
    <w:abstractNumId w:val="33"/>
  </w:num>
  <w:num w:numId="35">
    <w:abstractNumId w:val="13"/>
  </w:num>
  <w:num w:numId="36">
    <w:abstractNumId w:val="8"/>
  </w:num>
  <w:num w:numId="37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06"/>
    <w:rsid w:val="0003787E"/>
    <w:rsid w:val="00094F3E"/>
    <w:rsid w:val="000A08C0"/>
    <w:rsid w:val="000D195E"/>
    <w:rsid w:val="000E0A2D"/>
    <w:rsid w:val="001C24CC"/>
    <w:rsid w:val="001C3B16"/>
    <w:rsid w:val="001C748D"/>
    <w:rsid w:val="001E2E7C"/>
    <w:rsid w:val="001E355C"/>
    <w:rsid w:val="0028052E"/>
    <w:rsid w:val="002A7C5B"/>
    <w:rsid w:val="002B0A8E"/>
    <w:rsid w:val="002C0093"/>
    <w:rsid w:val="0032772D"/>
    <w:rsid w:val="00366C54"/>
    <w:rsid w:val="0038020E"/>
    <w:rsid w:val="003D5EC8"/>
    <w:rsid w:val="00406B06"/>
    <w:rsid w:val="00451081"/>
    <w:rsid w:val="00454487"/>
    <w:rsid w:val="004C12AC"/>
    <w:rsid w:val="0050128E"/>
    <w:rsid w:val="00505868"/>
    <w:rsid w:val="00561268"/>
    <w:rsid w:val="00574D52"/>
    <w:rsid w:val="005927A7"/>
    <w:rsid w:val="005947D1"/>
    <w:rsid w:val="005C2DD4"/>
    <w:rsid w:val="005E24A2"/>
    <w:rsid w:val="005F5618"/>
    <w:rsid w:val="00643019"/>
    <w:rsid w:val="00694044"/>
    <w:rsid w:val="006D526F"/>
    <w:rsid w:val="00711211"/>
    <w:rsid w:val="00715EE9"/>
    <w:rsid w:val="00764E9A"/>
    <w:rsid w:val="007A296D"/>
    <w:rsid w:val="00850BF4"/>
    <w:rsid w:val="00884DFD"/>
    <w:rsid w:val="00893127"/>
    <w:rsid w:val="008933A1"/>
    <w:rsid w:val="00897606"/>
    <w:rsid w:val="008A4492"/>
    <w:rsid w:val="008F46E9"/>
    <w:rsid w:val="00930711"/>
    <w:rsid w:val="0094482A"/>
    <w:rsid w:val="00987080"/>
    <w:rsid w:val="00987B82"/>
    <w:rsid w:val="009C665F"/>
    <w:rsid w:val="00A131CE"/>
    <w:rsid w:val="00A14A95"/>
    <w:rsid w:val="00A45A0F"/>
    <w:rsid w:val="00A641F6"/>
    <w:rsid w:val="00A71C27"/>
    <w:rsid w:val="00A854D7"/>
    <w:rsid w:val="00AA4852"/>
    <w:rsid w:val="00AD0D4F"/>
    <w:rsid w:val="00AF37AA"/>
    <w:rsid w:val="00B05F72"/>
    <w:rsid w:val="00B271F2"/>
    <w:rsid w:val="00B4700F"/>
    <w:rsid w:val="00B57234"/>
    <w:rsid w:val="00B9018D"/>
    <w:rsid w:val="00B90C66"/>
    <w:rsid w:val="00BA16C2"/>
    <w:rsid w:val="00BD6914"/>
    <w:rsid w:val="00C03A8B"/>
    <w:rsid w:val="00CA11B1"/>
    <w:rsid w:val="00CD32BC"/>
    <w:rsid w:val="00CE6FD6"/>
    <w:rsid w:val="00D43431"/>
    <w:rsid w:val="00DC64D5"/>
    <w:rsid w:val="00E007F5"/>
    <w:rsid w:val="00E174A7"/>
    <w:rsid w:val="00E346CF"/>
    <w:rsid w:val="00E62C6A"/>
    <w:rsid w:val="00E72DB1"/>
    <w:rsid w:val="00E758FA"/>
    <w:rsid w:val="00EB2BA8"/>
    <w:rsid w:val="00EB4D86"/>
    <w:rsid w:val="00ED2E61"/>
    <w:rsid w:val="00EF50FA"/>
    <w:rsid w:val="00F51A4B"/>
    <w:rsid w:val="00F70532"/>
    <w:rsid w:val="00F806E4"/>
    <w:rsid w:val="00FA32DE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D0CC1"/>
  <w15:chartTrackingRefBased/>
  <w15:docId w15:val="{06DA3A95-11E9-4C4E-95A9-070060EA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keepNext/>
      <w:spacing w:before="60" w:after="60"/>
      <w:ind w:left="1134"/>
    </w:pPr>
    <w:rPr>
      <w:rFonts w:ascii="Verdana" w:hAnsi="Verdana"/>
      <w:sz w:val="22"/>
      <w:lang w:eastAsia="ja-JP"/>
    </w:rPr>
  </w:style>
  <w:style w:type="paragraph" w:styleId="Rubrik1">
    <w:name w:val="heading 1"/>
    <w:basedOn w:val="Normal"/>
    <w:next w:val="Normal"/>
    <w:qFormat/>
    <w:pPr>
      <w:spacing w:before="240"/>
      <w:ind w:left="0"/>
      <w:outlineLvl w:val="0"/>
    </w:pPr>
    <w:rPr>
      <w:b/>
      <w:kern w:val="28"/>
      <w:sz w:val="24"/>
    </w:rPr>
  </w:style>
  <w:style w:type="paragraph" w:styleId="Rubrik2">
    <w:name w:val="heading 2"/>
    <w:basedOn w:val="Normal"/>
    <w:next w:val="Normal"/>
    <w:qFormat/>
    <w:pPr>
      <w:ind w:left="1021"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qFormat/>
    <w:pPr>
      <w:spacing w:before="120"/>
      <w:ind w:left="1021"/>
      <w:outlineLvl w:val="2"/>
    </w:pPr>
    <w:rPr>
      <w:u w:val="single"/>
    </w:rPr>
  </w:style>
  <w:style w:type="paragraph" w:styleId="Rubrik4">
    <w:name w:val="heading 4"/>
    <w:basedOn w:val="Normal"/>
    <w:next w:val="Normal"/>
    <w:qFormat/>
    <w:pPr>
      <w:spacing w:before="120"/>
      <w:outlineLvl w:val="3"/>
    </w:pPr>
    <w:rPr>
      <w:u w:val="dotted"/>
    </w:rPr>
  </w:style>
  <w:style w:type="paragraph" w:styleId="Rubrik5">
    <w:name w:val="heading 5"/>
    <w:basedOn w:val="Normal"/>
    <w:next w:val="Normal"/>
    <w:qFormat/>
    <w:pPr>
      <w:outlineLvl w:val="4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right" w:pos="9072"/>
      </w:tabs>
      <w:spacing w:before="0" w:after="0"/>
      <w:ind w:left="0"/>
    </w:pPr>
    <w:rPr>
      <w:rFonts w:ascii="Arial" w:hAnsi="Arial"/>
      <w:sz w:val="16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/>
      <w:ind w:left="0"/>
    </w:pPr>
    <w:rPr>
      <w:sz w:val="16"/>
    </w:rPr>
  </w:style>
  <w:style w:type="character" w:styleId="Sidnummer">
    <w:name w:val="page number"/>
    <w:basedOn w:val="Standardstycketeckensnitt"/>
    <w:rPr>
      <w:rFonts w:ascii="Arial" w:hAnsi="Arial"/>
      <w:sz w:val="16"/>
    </w:rPr>
  </w:style>
  <w:style w:type="paragraph" w:styleId="Punktlista">
    <w:name w:val="List Bullet"/>
    <w:basedOn w:val="Normal"/>
    <w:autoRedefine/>
    <w:pPr>
      <w:numPr>
        <w:numId w:val="18"/>
      </w:numPr>
      <w:tabs>
        <w:tab w:val="clear" w:pos="360"/>
      </w:tabs>
      <w:spacing w:before="120" w:after="120"/>
      <w:ind w:left="1304" w:hanging="170"/>
    </w:pPr>
  </w:style>
  <w:style w:type="paragraph" w:styleId="Numreradlista">
    <w:name w:val="List Number"/>
    <w:basedOn w:val="Normal"/>
    <w:autoRedefine/>
    <w:pPr>
      <w:numPr>
        <w:numId w:val="7"/>
      </w:numPr>
      <w:tabs>
        <w:tab w:val="clear" w:pos="2552"/>
      </w:tabs>
      <w:spacing w:before="120" w:after="120"/>
      <w:ind w:left="1559" w:hanging="425"/>
    </w:pPr>
  </w:style>
  <w:style w:type="paragraph" w:customStyle="1" w:styleId="Titel">
    <w:name w:val="Titel"/>
    <w:basedOn w:val="Normal"/>
    <w:pPr>
      <w:spacing w:before="360" w:after="240"/>
      <w:ind w:left="0"/>
    </w:pPr>
    <w:rPr>
      <w:b/>
      <w:sz w:val="32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kumenthistorik">
    <w:name w:val="Dokumenthistorik"/>
    <w:basedOn w:val="Normal"/>
    <w:rsid w:val="001C24CC"/>
    <w:pPr>
      <w:ind w:left="0"/>
    </w:pPr>
    <w:rPr>
      <w:sz w:val="16"/>
    </w:rPr>
  </w:style>
  <w:style w:type="paragraph" w:customStyle="1" w:styleId="Tabelltext">
    <w:name w:val="Tabelltext"/>
    <w:basedOn w:val="Normal"/>
    <w:pPr>
      <w:ind w:left="0"/>
    </w:pPr>
    <w:rPr>
      <w:sz w:val="20"/>
    </w:rPr>
  </w:style>
  <w:style w:type="paragraph" w:styleId="Brdtextmedindrag">
    <w:name w:val="Body Text Indent"/>
    <w:basedOn w:val="Normal"/>
    <w:link w:val="BrdtextmedindragChar"/>
    <w:unhideWhenUsed/>
    <w:rsid w:val="00B57234"/>
    <w:pPr>
      <w:tabs>
        <w:tab w:val="left" w:pos="2977"/>
      </w:tabs>
    </w:pPr>
  </w:style>
  <w:style w:type="character" w:customStyle="1" w:styleId="BrdtextmedindragChar">
    <w:name w:val="Brödtext med indrag Char"/>
    <w:basedOn w:val="Standardstycketeckensnitt"/>
    <w:link w:val="Brdtextmedindrag"/>
    <w:rsid w:val="00B57234"/>
    <w:rPr>
      <w:rFonts w:ascii="Verdana" w:hAnsi="Verdana"/>
      <w:sz w:val="22"/>
      <w:lang w:eastAsia="ja-JP"/>
    </w:rPr>
  </w:style>
  <w:style w:type="character" w:customStyle="1" w:styleId="Rubrik3Char">
    <w:name w:val="Rubrik 3 Char"/>
    <w:basedOn w:val="Standardstycketeckensnitt"/>
    <w:link w:val="Rubrik3"/>
    <w:rsid w:val="001E355C"/>
    <w:rPr>
      <w:rFonts w:ascii="Verdana" w:hAnsi="Verdana"/>
      <w:sz w:val="22"/>
      <w:u w:val="single"/>
      <w:lang w:eastAsia="ja-JP"/>
    </w:rPr>
  </w:style>
  <w:style w:type="character" w:styleId="Hyperlnk">
    <w:name w:val="Hyperlink"/>
    <w:basedOn w:val="Standardstycketeckensnitt"/>
    <w:unhideWhenUsed/>
    <w:rsid w:val="00E758F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5C2DD4"/>
    <w:pPr>
      <w:ind w:left="720"/>
      <w:contextualSpacing/>
    </w:pPr>
  </w:style>
  <w:style w:type="character" w:styleId="AnvndHyperlnk">
    <w:name w:val="FollowedHyperlink"/>
    <w:basedOn w:val="Standardstycketeckensnitt"/>
    <w:rsid w:val="00893127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rsid w:val="00AF37A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F37AA"/>
    <w:rPr>
      <w:rFonts w:ascii="Segoe UI" w:hAnsi="Segoe UI" w:cs="Segoe UI"/>
      <w:sz w:val="18"/>
      <w:szCs w:val="18"/>
      <w:lang w:eastAsia="ja-JP"/>
    </w:rPr>
  </w:style>
  <w:style w:type="character" w:styleId="Kommentarsreferens">
    <w:name w:val="annotation reference"/>
    <w:basedOn w:val="Standardstycketeckensnitt"/>
    <w:rsid w:val="00E72DB1"/>
    <w:rPr>
      <w:sz w:val="16"/>
      <w:szCs w:val="16"/>
    </w:rPr>
  </w:style>
  <w:style w:type="paragraph" w:styleId="Kommentarer">
    <w:name w:val="annotation text"/>
    <w:basedOn w:val="Normal"/>
    <w:link w:val="KommentarerChar"/>
    <w:rsid w:val="00E72DB1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72DB1"/>
    <w:rPr>
      <w:rFonts w:ascii="Verdana" w:hAnsi="Verdana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E72DB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72DB1"/>
    <w:rPr>
      <w:rFonts w:ascii="Verdana" w:hAnsi="Verdana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-db-01/centuri-dat-betrodd/ViewItem.aspx?regno=AL16031" TargetMode="External"/><Relationship Id="rId13" Type="http://schemas.openxmlformats.org/officeDocument/2006/relationships/hyperlink" Target="http://www.ngsp.org/interf.as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nt-db-01/centuri-dat-betrodd/ViewItem.aspx?regno=AL1603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image003.png@01D3888A.4282F76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cent-db-01/centuri-dat-betrodd/ViewItem.aspx?regno=AL159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4413-7F94-48A7-89C7-5F6D51CD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1360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Hemoglobin A1c, B- (Capillarys 3)</vt:lpstr>
    </vt:vector>
  </TitlesOfParts>
  <Manager/>
  <Company>Akademiska Sjukhuset DAT Divisionen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Hemoglobin A1c, B- (Capillarys 3)</dc:title>
  <dc:subject/>
  <dc:creator>Helena Hyltén</dc:creator>
  <cp:keywords/>
  <dc:description/>
  <cp:lastModifiedBy>Birgitta Högberg</cp:lastModifiedBy>
  <cp:revision>3</cp:revision>
  <cp:lastPrinted>2018-01-08T15:49:00Z</cp:lastPrinted>
  <dcterms:created xsi:type="dcterms:W3CDTF">2018-03-15T14:16:00Z</dcterms:created>
  <dcterms:modified xsi:type="dcterms:W3CDTF">2018-03-15T14:16:00Z</dcterms:modified>
  <cp:category>Metodbeskrivning KKF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 </vt:lpwstr>
  </property>
  <property fmtid="{D5CDD505-2E9C-101B-9397-08002B2CF9AE}" pid="3" name="ValidFrom">
    <vt:lpwstr>2018-02-16</vt:lpwstr>
  </property>
  <property fmtid="{D5CDD505-2E9C-101B-9397-08002B2CF9AE}" pid="4" name="ApprovedBy">
    <vt:lpwstr>Torbjörn Åkerfeldt</vt:lpwstr>
  </property>
  <property fmtid="{D5CDD505-2E9C-101B-9397-08002B2CF9AE}" pid="5" name="DocNo">
    <vt:lpwstr>AL15980-3</vt:lpwstr>
  </property>
  <property fmtid="{D5CDD505-2E9C-101B-9397-08002B2CF9AE}" pid="6" name="CTitle">
    <vt:lpwstr>Hemoglobin A1c, B- (Capillarys 3)</vt:lpwstr>
  </property>
  <property fmtid="{D5CDD505-2E9C-101B-9397-08002B2CF9AE}" pid="7" name="CCategory">
    <vt:lpwstr>Metodbeskrivning KKF</vt:lpwstr>
  </property>
  <property fmtid="{D5CDD505-2E9C-101B-9397-08002B2CF9AE}" pid="8" name="RegNo">
    <vt:lpwstr>AL15980</vt:lpwstr>
  </property>
  <property fmtid="{D5CDD505-2E9C-101B-9397-08002B2CF9AE}" pid="9" name="Issue">
    <vt:lpwstr>3</vt:lpwstr>
  </property>
  <property fmtid="{D5CDD505-2E9C-101B-9397-08002B2CF9AE}" pid="10" name="DocumentNo">
    <vt:lpwstr>AL15980-3</vt:lpwstr>
  </property>
  <property fmtid="{D5CDD505-2E9C-101B-9397-08002B2CF9AE}" pid="11" name="Phase">
    <vt:lpwstr>Aktivt</vt:lpwstr>
  </property>
  <property fmtid="{D5CDD505-2E9C-101B-9397-08002B2CF9AE}" pid="12" name="Folder">
    <vt:lpwstr>Dat</vt:lpwstr>
  </property>
  <property fmtid="{D5CDD505-2E9C-101B-9397-08002B2CF9AE}" pid="13" name="EstablishedDate">
    <vt:lpwstr>2018-01-08</vt:lpwstr>
  </property>
  <property fmtid="{D5CDD505-2E9C-101B-9397-08002B2CF9AE}" pid="14" name="EstablishedBy">
    <vt:lpwstr>Helena Hyltén</vt:lpwstr>
  </property>
  <property fmtid="{D5CDD505-2E9C-101B-9397-08002B2CF9AE}" pid="15" name="EstablishedByOU">
    <vt:lpwstr>Kemi och farmakologi</vt:lpwstr>
  </property>
  <property fmtid="{D5CDD505-2E9C-101B-9397-08002B2CF9AE}" pid="16" name="EstablishedByTitle">
    <vt:lpwstr>AL KKF Godkännare</vt:lpwstr>
  </property>
  <property fmtid="{D5CDD505-2E9C-101B-9397-08002B2CF9AE}" pid="17" name="EstablishedByPositionCode">
    <vt:lpwstr>KKF</vt:lpwstr>
  </property>
  <property fmtid="{D5CDD505-2E9C-101B-9397-08002B2CF9AE}" pid="18" name="Owner">
    <vt:lpwstr>Helena Hyltén</vt:lpwstr>
  </property>
  <property fmtid="{D5CDD505-2E9C-101B-9397-08002B2CF9AE}" pid="19" name="OwnerOU">
    <vt:lpwstr>Kemi och farmakologi</vt:lpwstr>
  </property>
  <property fmtid="{D5CDD505-2E9C-101B-9397-08002B2CF9AE}" pid="20" name="OwnerTitle">
    <vt:lpwstr>AL KKF Godkännare</vt:lpwstr>
  </property>
  <property fmtid="{D5CDD505-2E9C-101B-9397-08002B2CF9AE}" pid="21" name="OwnerPositionCode">
    <vt:lpwstr>KKF</vt:lpwstr>
  </property>
  <property fmtid="{D5CDD505-2E9C-101B-9397-08002B2CF9AE}" pid="22" name="ReviewedDate">
    <vt:lpwstr>2018-01-19</vt:lpwstr>
  </property>
  <property fmtid="{D5CDD505-2E9C-101B-9397-08002B2CF9AE}" pid="23" name="ReviewedBy">
    <vt:lpwstr>Anders Edström</vt:lpwstr>
  </property>
  <property fmtid="{D5CDD505-2E9C-101B-9397-08002B2CF9AE}" pid="24" name="ReviewedByOU">
    <vt:lpwstr>Kemi och farmakologi</vt:lpwstr>
  </property>
  <property fmtid="{D5CDD505-2E9C-101B-9397-08002B2CF9AE}" pid="25" name="ReviewedByTitle">
    <vt:lpwstr>AL Kvalitetssamordnare KKF</vt:lpwstr>
  </property>
  <property fmtid="{D5CDD505-2E9C-101B-9397-08002B2CF9AE}" pid="26" name="ReviewedByPositionCode">
    <vt:lpwstr>KKF</vt:lpwstr>
  </property>
  <property fmtid="{D5CDD505-2E9C-101B-9397-08002B2CF9AE}" pid="27" name="ApprovedDate">
    <vt:lpwstr>2018-02-15</vt:lpwstr>
  </property>
  <property fmtid="{D5CDD505-2E9C-101B-9397-08002B2CF9AE}" pid="28" name="ApprovedByOU">
    <vt:lpwstr>Kemi och farmakologi</vt:lpwstr>
  </property>
  <property fmtid="{D5CDD505-2E9C-101B-9397-08002B2CF9AE}" pid="29" name="ApprovedByTitle">
    <vt:lpwstr>AL Medicinskt ansvarig KKF</vt:lpwstr>
  </property>
  <property fmtid="{D5CDD505-2E9C-101B-9397-08002B2CF9AE}" pid="30" name="ApprovedByPositionCode">
    <vt:lpwstr>KKF</vt:lpwstr>
  </property>
  <property fmtid="{D5CDD505-2E9C-101B-9397-08002B2CF9AE}" pid="31" name="ValidUntil">
    <vt:lpwstr/>
  </property>
  <property fmtid="{D5CDD505-2E9C-101B-9397-08002B2CF9AE}" pid="32" name="DistributionMessage">
    <vt:lpwstr/>
  </property>
</Properties>
</file>