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387" w:rsidRDefault="00255387" w:rsidP="00255387">
      <w:pPr>
        <w:pStyle w:val="Titel"/>
        <w:rPr>
          <w:lang w:val="en-GB"/>
        </w:rPr>
      </w:pPr>
      <w:r>
        <w:fldChar w:fldCharType="begin"/>
      </w:r>
      <w:r>
        <w:rPr>
          <w:lang w:val="en-GB"/>
        </w:rPr>
        <w:instrText xml:space="preserve"> TITLE  \* MERGEFORMAT </w:instrText>
      </w:r>
      <w:r>
        <w:fldChar w:fldCharType="separate"/>
      </w:r>
      <w:proofErr w:type="spellStart"/>
      <w:r w:rsidR="004D09C1">
        <w:rPr>
          <w:lang w:val="en-GB"/>
        </w:rPr>
        <w:t>Glukos</w:t>
      </w:r>
      <w:proofErr w:type="spellEnd"/>
      <w:r w:rsidR="004D09C1">
        <w:rPr>
          <w:lang w:val="en-GB"/>
        </w:rPr>
        <w:t>, P</w:t>
      </w:r>
      <w:proofErr w:type="gramStart"/>
      <w:r w:rsidR="004D09C1">
        <w:rPr>
          <w:lang w:val="en-GB"/>
        </w:rPr>
        <w:t>-,Csv</w:t>
      </w:r>
      <w:proofErr w:type="gramEnd"/>
      <w:r w:rsidR="004D09C1">
        <w:rPr>
          <w:lang w:val="en-GB"/>
        </w:rPr>
        <w:t>-,</w:t>
      </w:r>
      <w:proofErr w:type="spellStart"/>
      <w:r w:rsidR="004D09C1">
        <w:rPr>
          <w:lang w:val="en-GB"/>
        </w:rPr>
        <w:t>Ledv</w:t>
      </w:r>
      <w:proofErr w:type="spellEnd"/>
      <w:r w:rsidR="004D09C1">
        <w:rPr>
          <w:lang w:val="en-GB"/>
        </w:rPr>
        <w:t>-, (Architect)</w:t>
      </w:r>
      <w:r>
        <w:fldChar w:fldCharType="end"/>
      </w:r>
    </w:p>
    <w:p w:rsidR="00255387" w:rsidRDefault="00255387" w:rsidP="00255387">
      <w:pPr>
        <w:pStyle w:val="Rubrik1"/>
      </w:pPr>
      <w:r>
        <w:t>Koder</w:t>
      </w:r>
    </w:p>
    <w:p w:rsidR="00255387" w:rsidRDefault="00255387" w:rsidP="00255387">
      <w:pPr>
        <w:pStyle w:val="Rubrik2"/>
      </w:pPr>
      <w:r>
        <w:t>Rapportnamn</w:t>
      </w:r>
    </w:p>
    <w:p w:rsidR="00255387" w:rsidRDefault="00255387" w:rsidP="00255387">
      <w:r>
        <w:t>P-Glukos</w:t>
      </w:r>
    </w:p>
    <w:p w:rsidR="00255387" w:rsidRDefault="00255387" w:rsidP="00255387">
      <w:pPr>
        <w:pStyle w:val="Rubrik2"/>
      </w:pPr>
      <w:r>
        <w:t>Synonym</w:t>
      </w:r>
    </w:p>
    <w:p w:rsidR="00255387" w:rsidRDefault="00255387" w:rsidP="00255387">
      <w:r>
        <w:t>Socker</w:t>
      </w:r>
    </w:p>
    <w:p w:rsidR="00255387" w:rsidRDefault="00255387" w:rsidP="00255387">
      <w:pPr>
        <w:pStyle w:val="Rubrik2"/>
      </w:pPr>
      <w:r>
        <w:t>Beställningskod</w:t>
      </w:r>
    </w:p>
    <w:p w:rsidR="00255387" w:rsidRDefault="00255387" w:rsidP="00255387">
      <w:r>
        <w:t>Glukos eller GLU</w:t>
      </w:r>
    </w:p>
    <w:p w:rsidR="00255387" w:rsidRDefault="00255387" w:rsidP="00255387">
      <w:r>
        <w:t>GLUASC för ascitesvätska</w:t>
      </w:r>
      <w:r>
        <w:rPr>
          <w:b/>
        </w:rPr>
        <w:br/>
      </w:r>
      <w:r>
        <w:t xml:space="preserve">GLUCSV för cerebrospinalvätska </w:t>
      </w:r>
      <w:r>
        <w:br/>
        <w:t>GLULV för ledvätska</w:t>
      </w:r>
      <w:r>
        <w:br/>
        <w:t>GLUPL för pleuravätska</w:t>
      </w:r>
      <w:r>
        <w:br/>
        <w:t>GLUDT för dialysat</w:t>
      </w:r>
      <w:r>
        <w:br/>
        <w:t>–BKREGLU1 resp 2,3,4,5 i vilka bl a ingår GLUDT1,2,3,4 respe</w:t>
      </w:r>
      <w:r w:rsidR="005012E9">
        <w:t>k</w:t>
      </w:r>
      <w:r>
        <w:t>tive 5. Dessa koder används för dialysatpåse 1-5.</w:t>
      </w:r>
      <w:r>
        <w:br/>
        <w:t>GLU- för övriga udda kroppsvätskor</w:t>
      </w:r>
    </w:p>
    <w:p w:rsidR="00255387" w:rsidRDefault="00255387" w:rsidP="00255387">
      <w:pPr>
        <w:pStyle w:val="Rubrik2"/>
      </w:pPr>
      <w:r>
        <w:t>Instrumentkod</w:t>
      </w:r>
    </w:p>
    <w:p w:rsidR="00255387" w:rsidRDefault="00255387" w:rsidP="00255387">
      <w:r>
        <w:t>GLU</w:t>
      </w:r>
    </w:p>
    <w:p w:rsidR="00255387" w:rsidRDefault="00255387" w:rsidP="00255387">
      <w:pPr>
        <w:pStyle w:val="Rubrik2"/>
      </w:pPr>
      <w:r>
        <w:t>NPU-kod</w:t>
      </w:r>
      <w:r w:rsidR="00673086">
        <w:t>/EDI-kod</w:t>
      </w:r>
    </w:p>
    <w:p w:rsidR="00255387" w:rsidRDefault="00255387" w:rsidP="00255387">
      <w:r>
        <w:t>NPU02192</w:t>
      </w:r>
      <w:r>
        <w:rPr>
          <w:b/>
        </w:rPr>
        <w:br/>
      </w:r>
      <w:r>
        <w:t xml:space="preserve">NPU02190 för cerebrospinalvätska </w:t>
      </w:r>
      <w:r>
        <w:br/>
        <w:t>NPU10112 för dialysat</w:t>
      </w:r>
      <w:r>
        <w:br/>
        <w:t>NPU08622 för ledvätska</w:t>
      </w:r>
      <w:r>
        <w:br/>
        <w:t>NPU10115 för pleuravätska</w:t>
      </w:r>
      <w:r>
        <w:br/>
        <w:t xml:space="preserve">NPU10127 för udda kroppsvätskor </w:t>
      </w:r>
      <w:r>
        <w:br/>
        <w:t>XGLUASC för ascitesvätska</w:t>
      </w:r>
      <w:r>
        <w:br/>
        <w:t>XGLUDT1-5 för dialysatpåse 1-5</w:t>
      </w:r>
    </w:p>
    <w:p w:rsidR="00255387" w:rsidRDefault="00255387" w:rsidP="00255387">
      <w:pPr>
        <w:pStyle w:val="Rubrik1"/>
      </w:pPr>
      <w:r>
        <w:t>Provmaterial</w:t>
      </w:r>
    </w:p>
    <w:p w:rsidR="00255387" w:rsidRDefault="00255387" w:rsidP="00255387">
      <w:pPr>
        <w:pStyle w:val="Rubrik2"/>
      </w:pPr>
      <w:r>
        <w:t>Typ av provmaterial</w:t>
      </w:r>
    </w:p>
    <w:p w:rsidR="00255387" w:rsidRDefault="00255387" w:rsidP="00255387">
      <w:r>
        <w:t>Ven-, kapillärblod, dialysvätska (före patient), dialysat (efter patient), cerebrospinalvätska, ledvätska, pleuravätska, ascitesvätska och eventuellt andra kroppsvätskor (ej faeces och urin).</w:t>
      </w:r>
    </w:p>
    <w:p w:rsidR="00255387" w:rsidRDefault="00255387" w:rsidP="00255387">
      <w:pPr>
        <w:pStyle w:val="Rubrik2"/>
      </w:pPr>
      <w:r>
        <w:t>Typ av provrör och tillsatser</w:t>
      </w:r>
    </w:p>
    <w:p w:rsidR="00255387" w:rsidRDefault="00255387" w:rsidP="00255387">
      <w:r>
        <w:t>Blodprov tas med citrat-citronsyratillsats (med natriumfluorid och Na2-EDTA som medtillsats).</w:t>
      </w:r>
      <w:r>
        <w:br/>
        <w:t xml:space="preserve">Alternativt kan natriumfluorid (med natriumheparin eller kalium-oxalat som medtillsats) användas. </w:t>
      </w:r>
      <w:r>
        <w:br/>
        <w:t>EDTA- eller heparintillsats kan användas, men kräver speciellt hand-havande, se Provberedning och förvaring.</w:t>
      </w:r>
    </w:p>
    <w:p w:rsidR="00255387" w:rsidRDefault="00255387" w:rsidP="00255387">
      <w:r>
        <w:br w:type="page"/>
      </w:r>
      <w:r>
        <w:lastRenderedPageBreak/>
        <w:t>Alla kroppsvätskor kan tas med ovanstående tillsatser, men för prov</w:t>
      </w:r>
      <w:r w:rsidR="00673086">
        <w:t>-</w:t>
      </w:r>
      <w:r>
        <w:t>tagaren rekommenderas följande:</w:t>
      </w:r>
      <w:r>
        <w:br/>
        <w:t>Cerebrospinalvätska tas utan tillsats</w:t>
      </w:r>
      <w:r>
        <w:br/>
        <w:t xml:space="preserve">Alla övriga kroppsvätskor tas med </w:t>
      </w:r>
      <w:r w:rsidR="00673086">
        <w:t>Na-heparin</w:t>
      </w:r>
      <w:r>
        <w:t>-tillsats.</w:t>
      </w:r>
    </w:p>
    <w:p w:rsidR="00255387" w:rsidRDefault="00255387" w:rsidP="00255387">
      <w:r>
        <w:t>Även serumprov kan analyseras med samma metod men provet skall tas om hand omgående, se under Provberedning och förvaring.</w:t>
      </w:r>
    </w:p>
    <w:p w:rsidR="00255387" w:rsidRDefault="00255387" w:rsidP="00255387">
      <w:pPr>
        <w:pStyle w:val="Rubrik2"/>
      </w:pPr>
      <w:r>
        <w:t>Provvolym</w:t>
      </w:r>
    </w:p>
    <w:p w:rsidR="00255387" w:rsidRDefault="00255387" w:rsidP="00255387">
      <w:pPr>
        <w:tabs>
          <w:tab w:val="left" w:pos="2127"/>
        </w:tabs>
      </w:pPr>
      <w:r>
        <w:t xml:space="preserve">1 mL plasma vid standardutförande. </w:t>
      </w:r>
      <w:r>
        <w:br/>
        <w:t xml:space="preserve">Instrumentet tar 2 µL prov. Vid första provuppsuget tas 8 µL extra som slask. </w:t>
      </w:r>
      <w:r>
        <w:br/>
        <w:t>Tillkommer cirka 30 µL dödvolym.</w:t>
      </w:r>
    </w:p>
    <w:p w:rsidR="00255387" w:rsidRDefault="00255387" w:rsidP="00255387">
      <w:pPr>
        <w:pStyle w:val="Rubrik2"/>
      </w:pPr>
      <w:r>
        <w:t>Provberedning och förvaring</w:t>
      </w:r>
    </w:p>
    <w:p w:rsidR="00255387" w:rsidRDefault="00255387" w:rsidP="00255387">
      <w:r>
        <w:t>Prov tagna med citrat-citronsyra (rosa-grå kork) kan förvaras upp till 48 timmar i rumstemperatur före centrifugering.</w:t>
      </w:r>
      <w:r>
        <w:br/>
        <w:t>Prov tagna med natriumfluorid (grå-svart kork) kan förvaras upp till 24 timmar i rumstemperatur före centrifugering.</w:t>
      </w:r>
    </w:p>
    <w:p w:rsidR="00255387" w:rsidRDefault="00255387" w:rsidP="00255387">
      <w:pPr>
        <w:pStyle w:val="Brdtextmedindrag2"/>
      </w:pPr>
      <w:r>
        <w:t xml:space="preserve">Blodprov med EDTA- eller heparintillsats eller utan tillsats (även PST- och SST-rör) samt blodtillblandade kroppsvätskor (ej cerebrospinalvätska) skall ställas på is direkt vid provtagningen och bör </w:t>
      </w:r>
      <w:r>
        <w:br/>
        <w:t>centrifugeras inom 1 timme varefter provet avskiljs från blodkropparna före analys.</w:t>
      </w:r>
      <w:r>
        <w:br/>
        <w:t xml:space="preserve">Proverna centrifugeras vid minst 1300 </w:t>
      </w:r>
      <w:r>
        <w:rPr>
          <w:i/>
        </w:rPr>
        <w:t>g</w:t>
      </w:r>
      <w:r>
        <w:t xml:space="preserve"> i 10 minuter, vi använder 2400 </w:t>
      </w:r>
      <w:r>
        <w:rPr>
          <w:i/>
        </w:rPr>
        <w:t>g</w:t>
      </w:r>
      <w:r>
        <w:t xml:space="preserve"> i 7 minuter.</w:t>
      </w:r>
    </w:p>
    <w:p w:rsidR="00255387" w:rsidRDefault="00255387" w:rsidP="00255387">
      <w:r>
        <w:t>Centrifugerad och avhälld serum/plasma/kroppsvätska kan förvaras upp till 48 timmar vid rumstemperatur och upp till 7 dygn vid 2-8°C.</w:t>
      </w:r>
    </w:p>
    <w:p w:rsidR="00255387" w:rsidRDefault="00255387" w:rsidP="00255387">
      <w:pPr>
        <w:pStyle w:val="Rubrik1"/>
      </w:pPr>
      <w:r>
        <w:t>Utförande</w:t>
      </w:r>
    </w:p>
    <w:p w:rsidR="00255387" w:rsidRDefault="00255387" w:rsidP="00255387">
      <w:r>
        <w:t>Se utförandebeskrivningar "Architect....".</w:t>
      </w:r>
      <w:r>
        <w:br/>
        <w:t>Sega ledvätskor kan spädas 1:2 med 0,15 mol/L NaCl före analys.</w:t>
      </w:r>
    </w:p>
    <w:p w:rsidR="00255387" w:rsidRDefault="00255387" w:rsidP="00255387">
      <w:pPr>
        <w:pStyle w:val="Rubrik1"/>
      </w:pPr>
      <w:r>
        <w:t>Felkällor</w:t>
      </w:r>
    </w:p>
    <w:p w:rsidR="00255387" w:rsidRDefault="00255387" w:rsidP="00255387">
      <w:pPr>
        <w:tabs>
          <w:tab w:val="left" w:pos="2127"/>
          <w:tab w:val="center" w:pos="7797"/>
        </w:tabs>
      </w:pPr>
      <w:r>
        <w:t>Vid provtagning utan citrat-citronsyratillsats i röret sjunker glukos</w:t>
      </w:r>
      <w:r w:rsidR="00673086">
        <w:t>-</w:t>
      </w:r>
      <w:r w:rsidR="00673086">
        <w:br/>
      </w:r>
      <w:r>
        <w:t xml:space="preserve">halten efter provtagningen eftersom erytrocyternas glykolys fortsätter i provröret. </w:t>
      </w:r>
      <w:r>
        <w:br/>
        <w:t>Två sätt att motverka denna felkälla är med natriumfluoridtillsats eller att prov kyls på is direkt vid provtagningen. Dock sker en viss sänkning under den första timmen även i natriumfluoridrör innan tillsatsen hunnit påverka provet.</w:t>
      </w:r>
    </w:p>
    <w:p w:rsidR="00255387" w:rsidRDefault="00255387" w:rsidP="00255387">
      <w:pPr>
        <w:tabs>
          <w:tab w:val="left" w:pos="2127"/>
          <w:tab w:val="center" w:pos="7797"/>
        </w:tabs>
      </w:pPr>
      <w:r>
        <w:t>Dålig blandning vid provtagning med citrat-citronsyratillsats ger en kraftig brunfärgning av plasman som dock ej påverkar glukosvärdet.</w:t>
      </w:r>
    </w:p>
    <w:p w:rsidR="00255387" w:rsidRDefault="00255387" w:rsidP="00255387">
      <w:pPr>
        <w:pStyle w:val="Rubrik2"/>
      </w:pPr>
      <w:r>
        <w:t>Interferenser</w:t>
      </w:r>
    </w:p>
    <w:p w:rsidR="00255387" w:rsidRDefault="00255387" w:rsidP="00255387">
      <w:r>
        <w:t xml:space="preserve">Ingen interferens av bilirubin upp till 1026 µmol/L, hemoglobin upp till 20 g/L samt intralipid upp till 20 g/L. </w:t>
      </w:r>
    </w:p>
    <w:p w:rsidR="00255387" w:rsidRDefault="00255387" w:rsidP="00255387">
      <w:pPr>
        <w:pStyle w:val="Rubrik1"/>
      </w:pPr>
      <w:r>
        <w:br w:type="page"/>
      </w:r>
      <w:r>
        <w:lastRenderedPageBreak/>
        <w:t>Svarsrutiner</w:t>
      </w:r>
    </w:p>
    <w:p w:rsidR="00255387" w:rsidRDefault="00255387" w:rsidP="00255387">
      <w:bookmarkStart w:id="0" w:name="_GoBack"/>
      <w:r w:rsidRPr="00C94421">
        <w:rPr>
          <w:shd w:val="clear" w:color="auto" w:fill="FFFF00"/>
        </w:rPr>
        <w:t>Enhet mmol/L.</w:t>
      </w:r>
      <w:r w:rsidRPr="00C94421">
        <w:rPr>
          <w:shd w:val="clear" w:color="auto" w:fill="FFFF00"/>
        </w:rPr>
        <w:br/>
      </w:r>
      <w:bookmarkEnd w:id="0"/>
      <w:r>
        <w:t xml:space="preserve">Resultaten lämnas ut med 1 decimal. </w:t>
      </w:r>
      <w:r>
        <w:br/>
        <w:t>Plasma/serumresultat mindre än 0,5 mmol/L lämnas automatiskt ut som &lt; 0,5 mmol/L.</w:t>
      </w:r>
    </w:p>
    <w:p w:rsidR="00255387" w:rsidRDefault="00255387" w:rsidP="00255387">
      <w:r>
        <w:t>Kroppsvätskor med specifik beställningskod: resultat matas in på</w:t>
      </w:r>
      <w:r>
        <w:br/>
        <w:t>respektive beställningskod.</w:t>
      </w:r>
    </w:p>
    <w:p w:rsidR="00255387" w:rsidRDefault="00255387" w:rsidP="00255387">
      <w:r>
        <w:t xml:space="preserve">För alla kroppsvätskor gäller att resultat mindre än 0,1 mmol/L </w:t>
      </w:r>
      <w:r>
        <w:br/>
        <w:t>automatiskt lämnas ut som &lt; 0,1 mmol/L.</w:t>
      </w:r>
    </w:p>
    <w:p w:rsidR="00255387" w:rsidRDefault="00255387" w:rsidP="00255387">
      <w:r>
        <w:t>För kroppsvätskor som inte har en specifik beställningskod ska en kompletterande kommentar med uppgift om vilken kroppsvätska som analyserats läggas till resultatet.</w:t>
      </w:r>
    </w:p>
    <w:p w:rsidR="00255387" w:rsidRDefault="00255387" w:rsidP="00255387">
      <w:pPr>
        <w:pStyle w:val="Rubrik2"/>
      </w:pPr>
      <w:r>
        <w:t>Referensintervall</w:t>
      </w:r>
    </w:p>
    <w:p w:rsidR="00255387" w:rsidRDefault="00255387" w:rsidP="00255387">
      <w:pPr>
        <w:tabs>
          <w:tab w:val="left" w:pos="2127"/>
          <w:tab w:val="center" w:pos="7797"/>
        </w:tabs>
      </w:pPr>
      <w:r>
        <w:t>Vuxna:</w:t>
      </w:r>
      <w:r>
        <w:br/>
        <w:t xml:space="preserve">Fastevärde i plasma/serum: 4,0 – 6,0 mmol/L </w:t>
      </w:r>
    </w:p>
    <w:p w:rsidR="00255387" w:rsidRDefault="00255387" w:rsidP="00255387">
      <w:pPr>
        <w:tabs>
          <w:tab w:val="left" w:pos="2127"/>
          <w:tab w:val="center" w:pos="7797"/>
        </w:tabs>
        <w:rPr>
          <w:b/>
        </w:rPr>
      </w:pPr>
      <w:r>
        <w:t xml:space="preserve">Barn: </w:t>
      </w:r>
      <w:r>
        <w:br/>
        <w:t>1 mån - 15 år: 3,3</w:t>
      </w:r>
      <w:r w:rsidR="005012E9">
        <w:t xml:space="preserve"> </w:t>
      </w:r>
      <w:r>
        <w:t>-</w:t>
      </w:r>
      <w:r w:rsidR="005012E9">
        <w:t xml:space="preserve"> </w:t>
      </w:r>
      <w:r>
        <w:t>5,6 mmol/L.</w:t>
      </w:r>
    </w:p>
    <w:p w:rsidR="00255387" w:rsidRDefault="00255387" w:rsidP="00255387">
      <w:pPr>
        <w:tabs>
          <w:tab w:val="left" w:pos="2127"/>
          <w:tab w:val="center" w:pos="7797"/>
        </w:tabs>
      </w:pPr>
      <w:r>
        <w:t>Cerebrospinalvätska: 55 - 65 % av P-Glukosvärdet.</w:t>
      </w:r>
    </w:p>
    <w:p w:rsidR="00255387" w:rsidRDefault="00255387" w:rsidP="00255387">
      <w:pPr>
        <w:pStyle w:val="Rubrik2"/>
      </w:pPr>
      <w:r>
        <w:t>Referensurvalsgrupp</w:t>
      </w:r>
    </w:p>
    <w:p w:rsidR="00255387" w:rsidRDefault="00255387" w:rsidP="00255387">
      <w:pPr>
        <w:tabs>
          <w:tab w:val="left" w:pos="2127"/>
          <w:tab w:val="center" w:pos="7797"/>
        </w:tabs>
      </w:pPr>
      <w:r>
        <w:t>WHO:s diabetesdiagnoskriterier och barn: se Läkartidningen 1998, enl litteraturlista.</w:t>
      </w:r>
    </w:p>
    <w:p w:rsidR="00255387" w:rsidRDefault="00255387" w:rsidP="00255387">
      <w:pPr>
        <w:pStyle w:val="Rubrik1"/>
      </w:pPr>
      <w:r>
        <w:t>Utrustning</w:t>
      </w:r>
    </w:p>
    <w:p w:rsidR="00255387" w:rsidRDefault="00255387" w:rsidP="00255387">
      <w:pPr>
        <w:pStyle w:val="Rubrik2"/>
      </w:pPr>
      <w:r>
        <w:t>Instrument</w:t>
      </w:r>
    </w:p>
    <w:p w:rsidR="00255387" w:rsidRDefault="00255387" w:rsidP="00255387">
      <w:r>
        <w:t>Architect c8000 respektive c16000 från Abbott.</w:t>
      </w:r>
    </w:p>
    <w:p w:rsidR="00255387" w:rsidRDefault="00255387" w:rsidP="00255387">
      <w:pPr>
        <w:pStyle w:val="Rubrik1"/>
      </w:pPr>
      <w:r>
        <w:t>Reagens</w:t>
      </w:r>
    </w:p>
    <w:p w:rsidR="00255387" w:rsidRDefault="00255387" w:rsidP="00255387">
      <w:pPr>
        <w:pStyle w:val="Rubrik2"/>
      </w:pPr>
      <w:r>
        <w:t>Kemikalier / Kit</w:t>
      </w:r>
    </w:p>
    <w:p w:rsidR="00255387" w:rsidRDefault="00255387" w:rsidP="00255387">
      <w:r>
        <w:t xml:space="preserve">Glu, kat:nr 3L82-20 eller 3L82-40 från Abbott. </w:t>
      </w:r>
      <w:r>
        <w:br/>
        <w:t xml:space="preserve">Förvaras vid 2-8°C. </w:t>
      </w:r>
    </w:p>
    <w:p w:rsidR="00255387" w:rsidRDefault="00255387" w:rsidP="00255387">
      <w:r>
        <w:t>Reagenset innehåller NAD, 5,0 mg/mL; G6PDH, 3000 E/L; hexokinas, 15000 E/L; ATP-2Na, 9,0 mg/mL.</w:t>
      </w:r>
    </w:p>
    <w:p w:rsidR="00255387" w:rsidRDefault="00255387" w:rsidP="00255387">
      <w:r>
        <w:t>En förpackning innehåller cirka 9000 respektive 15000 tester.</w:t>
      </w:r>
      <w:r>
        <w:br/>
        <w:t xml:space="preserve">För övriga lösningar, se utförandebeskrivning "Allmänna lösningar </w:t>
      </w:r>
      <w:r w:rsidR="005012E9">
        <w:t>KKF</w:t>
      </w:r>
      <w:r>
        <w:t>".</w:t>
      </w:r>
    </w:p>
    <w:p w:rsidR="00255387" w:rsidRDefault="00255387" w:rsidP="00255387">
      <w:r>
        <w:t>Reagenset är färdigt att användas.</w:t>
      </w:r>
      <w:r>
        <w:br/>
        <w:t>Hållbarhet minst 30 dagar i instrumentet.</w:t>
      </w:r>
      <w:r>
        <w:br/>
        <w:t>Reagensvolym 57 µL plus 143 µL vatten.</w:t>
      </w:r>
    </w:p>
    <w:p w:rsidR="00255387" w:rsidRDefault="00255387" w:rsidP="00255387">
      <w:pPr>
        <w:pStyle w:val="Rubrik2"/>
      </w:pPr>
      <w:r>
        <w:t>Riskbedömning</w:t>
      </w:r>
    </w:p>
    <w:p w:rsidR="00255387" w:rsidRDefault="00255387" w:rsidP="00255387">
      <w:r>
        <w:t>Innehåller inga farliga kemikalier.</w:t>
      </w:r>
    </w:p>
    <w:p w:rsidR="00255387" w:rsidRDefault="00255387" w:rsidP="00255387">
      <w:pPr>
        <w:pStyle w:val="Rubrik1"/>
      </w:pPr>
      <w:r>
        <w:br w:type="page"/>
      </w:r>
      <w:r>
        <w:lastRenderedPageBreak/>
        <w:t>Kalibrering</w:t>
      </w:r>
    </w:p>
    <w:p w:rsidR="00255387" w:rsidRDefault="00255387" w:rsidP="00255387">
      <w:pPr>
        <w:pStyle w:val="Rubrik2"/>
      </w:pPr>
      <w:r>
        <w:t>Kalibrator</w:t>
      </w:r>
    </w:p>
    <w:p w:rsidR="00255387" w:rsidRDefault="00255387" w:rsidP="00255387">
      <w:r>
        <w:t xml:space="preserve">Analysen standardiseras med Multiconstituent Calibrator, </w:t>
      </w:r>
      <w:r>
        <w:br/>
        <w:t>kat.nr: 1E65-05, från Abbott.</w:t>
      </w:r>
      <w:r>
        <w:br/>
        <w:t>Som blank används vatten, vilket levereras automatiskt till kyvett via provnålen.</w:t>
      </w:r>
    </w:p>
    <w:p w:rsidR="00255387" w:rsidRDefault="00255387" w:rsidP="00255387">
      <w:r>
        <w:t>För beredning och förvaring, se utförandebeskrivning ”Architect, handhavande av kalibratorer".</w:t>
      </w:r>
    </w:p>
    <w:p w:rsidR="00255387" w:rsidRDefault="00255387" w:rsidP="00255387">
      <w:pPr>
        <w:pStyle w:val="Rubrik2"/>
      </w:pPr>
      <w:r>
        <w:t>Spårbarhet</w:t>
      </w:r>
    </w:p>
    <w:p w:rsidR="00255387" w:rsidRDefault="00255387" w:rsidP="00255387">
      <w:r>
        <w:t>Referensmetod isotopspädningsmasspektrometri (IDMS) med</w:t>
      </w:r>
      <w:r>
        <w:br/>
        <w:t>referensmaterial NIST SRM 965.</w:t>
      </w:r>
    </w:p>
    <w:p w:rsidR="00255387" w:rsidRDefault="00255387" w:rsidP="00255387">
      <w:pPr>
        <w:pStyle w:val="Rubrik1"/>
      </w:pPr>
      <w:r>
        <w:t>Kvalitetskontroll</w:t>
      </w:r>
    </w:p>
    <w:p w:rsidR="00255387" w:rsidRDefault="00255387" w:rsidP="00255387">
      <w:pPr>
        <w:pStyle w:val="Rubrik2"/>
      </w:pPr>
      <w:r>
        <w:t>Internkontroll</w:t>
      </w:r>
    </w:p>
    <w:p w:rsidR="00255387" w:rsidRDefault="00255387" w:rsidP="00255387">
      <w:r>
        <w:t>Liquicheck</w:t>
      </w:r>
      <w:r>
        <w:sym w:font="Symbol" w:char="F0D4"/>
      </w:r>
      <w:r>
        <w:t xml:space="preserve"> Nordic Unassayed Chemistry (Bio-Rad, humant ursprung, ca 5 mmol/L), samt Autonorm Liquid Human nivå 2 (Sero, humant ursprung, ca 15 mmol/L). </w:t>
      </w:r>
    </w:p>
    <w:p w:rsidR="00255387" w:rsidRDefault="00255387" w:rsidP="00255387">
      <w:r>
        <w:t xml:space="preserve">För beredning, förvaring och frekvens, se utförandebeskrivning </w:t>
      </w:r>
      <w:r>
        <w:br/>
        <w:t>"Architect, handhavande av kontroller".</w:t>
      </w:r>
      <w:r>
        <w:br/>
        <w:t>Se även utförandebeskrivning ”Architect, analys av prover”.</w:t>
      </w:r>
    </w:p>
    <w:p w:rsidR="00255387" w:rsidRDefault="00255387" w:rsidP="00255387">
      <w:pPr>
        <w:tabs>
          <w:tab w:val="left" w:pos="2127"/>
        </w:tabs>
      </w:pPr>
      <w:r>
        <w:t>För ny batch av kontrollmaterial analyseras den under minst fem</w:t>
      </w:r>
      <w:r>
        <w:br/>
        <w:t>dagar, helst med flera instrument varje gång.</w:t>
      </w:r>
    </w:p>
    <w:p w:rsidR="00255387" w:rsidRDefault="00255387" w:rsidP="00255387">
      <w:pPr>
        <w:pStyle w:val="Rubrik2"/>
      </w:pPr>
      <w:r>
        <w:t>Externkontroll</w:t>
      </w:r>
    </w:p>
    <w:p w:rsidR="00255387" w:rsidRDefault="00255387" w:rsidP="00255387">
      <w:r>
        <w:t>EQUALIS allmän kemi, en gång/månad.</w:t>
      </w:r>
    </w:p>
    <w:p w:rsidR="00255387" w:rsidRDefault="00255387" w:rsidP="00255387">
      <w:pPr>
        <w:pStyle w:val="Rubrik1"/>
      </w:pPr>
      <w:r>
        <w:t>Indikation/Medicinsk betydelse/Användningsområde</w:t>
      </w:r>
    </w:p>
    <w:p w:rsidR="00255387" w:rsidRDefault="00255387" w:rsidP="00255387">
      <w:pPr>
        <w:tabs>
          <w:tab w:val="left" w:pos="2127"/>
        </w:tabs>
      </w:pPr>
      <w:r>
        <w:t xml:space="preserve">Mätning av plasma-glukos används vid diagnostik och kontroll av </w:t>
      </w:r>
      <w:r>
        <w:br/>
        <w:t>diabetes mellitus, vid endokrinologiska utredningar samt oklara fall av medvetslöshet.</w:t>
      </w:r>
    </w:p>
    <w:p w:rsidR="00255387" w:rsidRDefault="00255387" w:rsidP="00255387">
      <w:r>
        <w:t>Fritt glukos i blodet ("blodsocker") härrör från födan samt från nedbrytningen av glykogendepåer. Glukos utgör den viktigaste energi-</w:t>
      </w:r>
      <w:r>
        <w:br/>
        <w:t>innehållande föreningen i blodet eftersom den kan utnyttjas av samtliga cellsystem i kroppen. Blodsockernivån regleras normalt hormonellt via ett flertal mekanismer.</w:t>
      </w:r>
    </w:p>
    <w:p w:rsidR="00255387" w:rsidRDefault="00255387" w:rsidP="00255387">
      <w:r>
        <w:t>Höga glukoshalter (hyperglykemi) ses vid diabetes typ I (insulinbrist) och diabetes typ II (insulinresistens, metabolt syndrom), samt vid höga halter av glukoshöjande hormoner som adrenalin, kortisol, glukagon och tillväxthormon, samt vid tillstånd som hjärtinfarkt, akut pankreatit, intracerebral tryckstegring mm. Vid hyperglykemi som vanligen utvecklas smygande, ses rubbningar i vätskebalansen p.g.a. den osmolaritetsökning som hyperglykemi ger i plasma. Insulinbrist gör att glukos ej kan tas upp i flertalet av kroppens celler och leder därför till hyperglykemi. Lågt insulin resulterar även i ökad bildning av ketoner vilket i sin tur leder till acidos.</w:t>
      </w:r>
    </w:p>
    <w:p w:rsidR="00255387" w:rsidRDefault="00255387" w:rsidP="00255387">
      <w:r>
        <w:t xml:space="preserve">Vid låga nivåer (hypoglykemi), som kan utvecklas snabbt efter tillförsel av alltför stor dos insulin, riskeras energibrist framför allt i centrala nervsystemet med risk för bestående hjärnskador och död. Låga glukoshalter kan även ses vid överdosering av sulfonureidpreparat och </w:t>
      </w:r>
      <w:r>
        <w:lastRenderedPageBreak/>
        <w:t>vissa endokrina rubbningar, t ex hypofys- eller binjurebarksinsufficiens.</w:t>
      </w:r>
    </w:p>
    <w:p w:rsidR="00255387" w:rsidRDefault="00255387" w:rsidP="00255387">
      <w:r>
        <w:t>Glukoshalten i kapillärblod överensstämmer med den i venblod vid fasta men är högre efter intag av föda eller under en glukosbelastning. Efter en måltid kan kapillärt glukos vara upp emot 1,0 mmol/L högre än i venöst glukos. Glukoshalten som uppmätts i plasma är ca 12 % högre än den som uppmätts i helblod. Denna skillnad gäller vid normal hematokrit. Skillnaden blir ännu högre vid högre hematokrit, t.ex. hos nyfödda.</w:t>
      </w:r>
    </w:p>
    <w:p w:rsidR="00255387" w:rsidRDefault="00255387" w:rsidP="00255387">
      <w:r>
        <w:br/>
        <w:t>Diagnostiska kriterier för diabetes mellitus enligt en internationell expertkommitté och WHO (1,2). Alla värden i mmol/L.</w:t>
      </w:r>
    </w:p>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1418"/>
        <w:gridCol w:w="1276"/>
        <w:gridCol w:w="1275"/>
        <w:gridCol w:w="1177"/>
      </w:tblGrid>
      <w:tr w:rsidR="00255387" w:rsidTr="0018436F">
        <w:trPr>
          <w:trHeight w:val="386"/>
        </w:trPr>
        <w:tc>
          <w:tcPr>
            <w:tcW w:w="2693" w:type="dxa"/>
          </w:tcPr>
          <w:p w:rsidR="00255387" w:rsidRDefault="00255387" w:rsidP="0018436F">
            <w:pPr>
              <w:tabs>
                <w:tab w:val="left" w:pos="2127"/>
              </w:tabs>
              <w:ind w:left="0"/>
              <w:rPr>
                <w:sz w:val="20"/>
              </w:rPr>
            </w:pPr>
          </w:p>
          <w:p w:rsidR="00255387" w:rsidRPr="00B72428" w:rsidRDefault="00255387" w:rsidP="00B72428">
            <w:pPr>
              <w:ind w:left="0"/>
              <w:rPr>
                <w:i/>
                <w:iCs/>
                <w:sz w:val="20"/>
              </w:rPr>
            </w:pPr>
            <w:r w:rsidRPr="00B72428">
              <w:rPr>
                <w:i/>
                <w:iCs/>
                <w:sz w:val="20"/>
              </w:rPr>
              <w:t>Diabetes mellitus</w:t>
            </w:r>
          </w:p>
        </w:tc>
        <w:tc>
          <w:tcPr>
            <w:tcW w:w="1418" w:type="dxa"/>
          </w:tcPr>
          <w:p w:rsidR="00255387" w:rsidRDefault="00255387" w:rsidP="0018436F">
            <w:pPr>
              <w:tabs>
                <w:tab w:val="left" w:pos="2127"/>
              </w:tabs>
              <w:ind w:left="0"/>
              <w:jc w:val="center"/>
              <w:rPr>
                <w:sz w:val="20"/>
              </w:rPr>
            </w:pPr>
            <w:r>
              <w:rPr>
                <w:sz w:val="20"/>
              </w:rPr>
              <w:t>Venöst</w:t>
            </w:r>
          </w:p>
          <w:p w:rsidR="00255387" w:rsidRDefault="00255387" w:rsidP="0018436F">
            <w:pPr>
              <w:tabs>
                <w:tab w:val="left" w:pos="2127"/>
              </w:tabs>
              <w:ind w:left="0"/>
              <w:jc w:val="center"/>
              <w:rPr>
                <w:sz w:val="20"/>
              </w:rPr>
            </w:pPr>
            <w:r>
              <w:rPr>
                <w:sz w:val="20"/>
              </w:rPr>
              <w:t>blod</w:t>
            </w:r>
          </w:p>
        </w:tc>
        <w:tc>
          <w:tcPr>
            <w:tcW w:w="1276" w:type="dxa"/>
          </w:tcPr>
          <w:p w:rsidR="00255387" w:rsidRDefault="00255387" w:rsidP="0018436F">
            <w:pPr>
              <w:tabs>
                <w:tab w:val="left" w:pos="2127"/>
              </w:tabs>
              <w:ind w:left="0"/>
              <w:jc w:val="center"/>
              <w:rPr>
                <w:sz w:val="20"/>
              </w:rPr>
            </w:pPr>
            <w:r>
              <w:rPr>
                <w:sz w:val="20"/>
              </w:rPr>
              <w:t>Kapillärt</w:t>
            </w:r>
          </w:p>
          <w:p w:rsidR="00255387" w:rsidRDefault="00255387" w:rsidP="0018436F">
            <w:pPr>
              <w:tabs>
                <w:tab w:val="left" w:pos="2127"/>
              </w:tabs>
              <w:ind w:left="0"/>
              <w:jc w:val="center"/>
              <w:rPr>
                <w:sz w:val="20"/>
              </w:rPr>
            </w:pPr>
            <w:r>
              <w:rPr>
                <w:sz w:val="20"/>
              </w:rPr>
              <w:t>blod</w:t>
            </w:r>
          </w:p>
        </w:tc>
        <w:tc>
          <w:tcPr>
            <w:tcW w:w="1275" w:type="dxa"/>
          </w:tcPr>
          <w:p w:rsidR="00255387" w:rsidRDefault="00255387" w:rsidP="0018436F">
            <w:pPr>
              <w:tabs>
                <w:tab w:val="left" w:pos="2127"/>
              </w:tabs>
              <w:ind w:left="0"/>
              <w:jc w:val="center"/>
              <w:rPr>
                <w:sz w:val="20"/>
              </w:rPr>
            </w:pPr>
            <w:r>
              <w:rPr>
                <w:sz w:val="20"/>
              </w:rPr>
              <w:t>Venös</w:t>
            </w:r>
          </w:p>
          <w:p w:rsidR="00255387" w:rsidRDefault="00255387" w:rsidP="0018436F">
            <w:pPr>
              <w:tabs>
                <w:tab w:val="left" w:pos="2127"/>
              </w:tabs>
              <w:ind w:left="0"/>
              <w:jc w:val="center"/>
              <w:rPr>
                <w:sz w:val="20"/>
              </w:rPr>
            </w:pPr>
            <w:r>
              <w:rPr>
                <w:sz w:val="20"/>
              </w:rPr>
              <w:t>plasma</w:t>
            </w:r>
          </w:p>
        </w:tc>
        <w:tc>
          <w:tcPr>
            <w:tcW w:w="1177" w:type="dxa"/>
          </w:tcPr>
          <w:p w:rsidR="00255387" w:rsidRDefault="00255387" w:rsidP="0018436F">
            <w:pPr>
              <w:ind w:left="0"/>
              <w:rPr>
                <w:sz w:val="20"/>
              </w:rPr>
            </w:pPr>
            <w:r>
              <w:rPr>
                <w:sz w:val="20"/>
              </w:rPr>
              <w:t>Kapillär</w:t>
            </w:r>
          </w:p>
          <w:p w:rsidR="00255387" w:rsidRDefault="00255387" w:rsidP="0018436F">
            <w:pPr>
              <w:ind w:left="0"/>
            </w:pPr>
            <w:r>
              <w:rPr>
                <w:sz w:val="20"/>
              </w:rPr>
              <w:t>plasma</w:t>
            </w:r>
          </w:p>
        </w:tc>
      </w:tr>
      <w:tr w:rsidR="00255387" w:rsidTr="0018436F">
        <w:trPr>
          <w:trHeight w:val="387"/>
        </w:trPr>
        <w:tc>
          <w:tcPr>
            <w:tcW w:w="2693" w:type="dxa"/>
          </w:tcPr>
          <w:p w:rsidR="00255387" w:rsidRDefault="00255387" w:rsidP="0018436F">
            <w:pPr>
              <w:tabs>
                <w:tab w:val="left" w:pos="2127"/>
              </w:tabs>
              <w:ind w:left="0"/>
              <w:rPr>
                <w:sz w:val="20"/>
              </w:rPr>
            </w:pPr>
            <w:r>
              <w:rPr>
                <w:sz w:val="20"/>
              </w:rPr>
              <w:t>Fastande</w:t>
            </w:r>
          </w:p>
        </w:tc>
        <w:tc>
          <w:tcPr>
            <w:tcW w:w="1418" w:type="dxa"/>
          </w:tcPr>
          <w:p w:rsidR="00255387" w:rsidRDefault="00255387" w:rsidP="0018436F">
            <w:pPr>
              <w:tabs>
                <w:tab w:val="left" w:pos="2127"/>
              </w:tabs>
              <w:ind w:left="0"/>
              <w:jc w:val="center"/>
              <w:rPr>
                <w:sz w:val="20"/>
              </w:rPr>
            </w:pPr>
            <w:r>
              <w:rPr>
                <w:sz w:val="20"/>
              </w:rPr>
              <w:sym w:font="Symbol" w:char="F0B3"/>
            </w:r>
            <w:r>
              <w:rPr>
                <w:sz w:val="20"/>
              </w:rPr>
              <w:t xml:space="preserve"> 6,1</w:t>
            </w:r>
          </w:p>
        </w:tc>
        <w:tc>
          <w:tcPr>
            <w:tcW w:w="1276" w:type="dxa"/>
          </w:tcPr>
          <w:p w:rsidR="00255387" w:rsidRDefault="00255387" w:rsidP="0018436F">
            <w:pPr>
              <w:tabs>
                <w:tab w:val="left" w:pos="2127"/>
              </w:tabs>
              <w:ind w:left="0"/>
              <w:jc w:val="center"/>
              <w:rPr>
                <w:sz w:val="20"/>
              </w:rPr>
            </w:pPr>
            <w:r>
              <w:rPr>
                <w:sz w:val="20"/>
              </w:rPr>
              <w:sym w:font="Symbol" w:char="F0B3"/>
            </w:r>
            <w:r>
              <w:rPr>
                <w:sz w:val="20"/>
              </w:rPr>
              <w:t xml:space="preserve"> 6,1</w:t>
            </w:r>
          </w:p>
        </w:tc>
        <w:tc>
          <w:tcPr>
            <w:tcW w:w="1275" w:type="dxa"/>
          </w:tcPr>
          <w:p w:rsidR="00255387" w:rsidRDefault="00255387" w:rsidP="0018436F">
            <w:pPr>
              <w:tabs>
                <w:tab w:val="left" w:pos="2127"/>
              </w:tabs>
              <w:ind w:left="0"/>
              <w:jc w:val="center"/>
              <w:rPr>
                <w:sz w:val="20"/>
              </w:rPr>
            </w:pPr>
            <w:r>
              <w:rPr>
                <w:sz w:val="20"/>
              </w:rPr>
              <w:sym w:font="Symbol" w:char="F0B3"/>
            </w:r>
            <w:r>
              <w:rPr>
                <w:sz w:val="20"/>
              </w:rPr>
              <w:t xml:space="preserve"> 7,0</w:t>
            </w:r>
          </w:p>
        </w:tc>
        <w:tc>
          <w:tcPr>
            <w:tcW w:w="1177" w:type="dxa"/>
          </w:tcPr>
          <w:p w:rsidR="00255387" w:rsidRDefault="00255387" w:rsidP="0018436F">
            <w:pPr>
              <w:tabs>
                <w:tab w:val="left" w:pos="2127"/>
              </w:tabs>
              <w:ind w:left="0"/>
              <w:jc w:val="center"/>
              <w:rPr>
                <w:sz w:val="20"/>
              </w:rPr>
            </w:pPr>
            <w:r>
              <w:rPr>
                <w:sz w:val="20"/>
              </w:rPr>
              <w:sym w:font="Symbol" w:char="F0B3"/>
            </w:r>
            <w:r>
              <w:rPr>
                <w:sz w:val="20"/>
              </w:rPr>
              <w:t xml:space="preserve"> 7,0</w:t>
            </w:r>
          </w:p>
        </w:tc>
      </w:tr>
      <w:tr w:rsidR="00255387" w:rsidTr="0018436F">
        <w:trPr>
          <w:trHeight w:val="387"/>
        </w:trPr>
        <w:tc>
          <w:tcPr>
            <w:tcW w:w="2693" w:type="dxa"/>
          </w:tcPr>
          <w:p w:rsidR="00255387" w:rsidRDefault="00255387" w:rsidP="0018436F">
            <w:pPr>
              <w:tabs>
                <w:tab w:val="left" w:pos="2127"/>
              </w:tabs>
              <w:ind w:left="0"/>
              <w:rPr>
                <w:sz w:val="20"/>
              </w:rPr>
            </w:pPr>
            <w:r>
              <w:rPr>
                <w:sz w:val="20"/>
              </w:rPr>
              <w:t>Tvåtimmarsvärde (OGTT)</w:t>
            </w:r>
          </w:p>
        </w:tc>
        <w:tc>
          <w:tcPr>
            <w:tcW w:w="1418" w:type="dxa"/>
          </w:tcPr>
          <w:p w:rsidR="00255387" w:rsidRDefault="00255387" w:rsidP="0018436F">
            <w:pPr>
              <w:tabs>
                <w:tab w:val="left" w:pos="2127"/>
              </w:tabs>
              <w:ind w:left="0"/>
              <w:jc w:val="center"/>
              <w:rPr>
                <w:sz w:val="20"/>
              </w:rPr>
            </w:pPr>
            <w:r>
              <w:rPr>
                <w:sz w:val="20"/>
              </w:rPr>
              <w:sym w:font="Symbol" w:char="F0B3"/>
            </w:r>
            <w:r>
              <w:rPr>
                <w:sz w:val="20"/>
              </w:rPr>
              <w:t xml:space="preserve"> 10,0</w:t>
            </w:r>
          </w:p>
        </w:tc>
        <w:tc>
          <w:tcPr>
            <w:tcW w:w="1276" w:type="dxa"/>
          </w:tcPr>
          <w:p w:rsidR="00255387" w:rsidRDefault="00255387" w:rsidP="0018436F">
            <w:pPr>
              <w:tabs>
                <w:tab w:val="left" w:pos="2127"/>
              </w:tabs>
              <w:ind w:left="0"/>
              <w:jc w:val="center"/>
              <w:rPr>
                <w:sz w:val="20"/>
              </w:rPr>
            </w:pPr>
            <w:r>
              <w:rPr>
                <w:sz w:val="20"/>
              </w:rPr>
              <w:sym w:font="Symbol" w:char="F0B3"/>
            </w:r>
            <w:r>
              <w:rPr>
                <w:sz w:val="20"/>
              </w:rPr>
              <w:t xml:space="preserve"> 11,1</w:t>
            </w:r>
          </w:p>
        </w:tc>
        <w:tc>
          <w:tcPr>
            <w:tcW w:w="1275" w:type="dxa"/>
          </w:tcPr>
          <w:p w:rsidR="00255387" w:rsidRDefault="00255387" w:rsidP="0018436F">
            <w:pPr>
              <w:tabs>
                <w:tab w:val="left" w:pos="2127"/>
              </w:tabs>
              <w:ind w:left="0"/>
              <w:jc w:val="center"/>
              <w:rPr>
                <w:sz w:val="20"/>
              </w:rPr>
            </w:pPr>
            <w:r>
              <w:rPr>
                <w:sz w:val="20"/>
              </w:rPr>
              <w:sym w:font="Symbol" w:char="F0B3"/>
            </w:r>
            <w:r>
              <w:rPr>
                <w:sz w:val="20"/>
              </w:rPr>
              <w:t xml:space="preserve"> 11,1</w:t>
            </w:r>
          </w:p>
        </w:tc>
        <w:tc>
          <w:tcPr>
            <w:tcW w:w="1177" w:type="dxa"/>
          </w:tcPr>
          <w:p w:rsidR="00255387" w:rsidRDefault="00255387" w:rsidP="0018436F">
            <w:pPr>
              <w:tabs>
                <w:tab w:val="left" w:pos="2127"/>
              </w:tabs>
              <w:ind w:left="0"/>
              <w:jc w:val="center"/>
              <w:rPr>
                <w:sz w:val="20"/>
              </w:rPr>
            </w:pPr>
            <w:r>
              <w:rPr>
                <w:sz w:val="20"/>
              </w:rPr>
              <w:sym w:font="Symbol" w:char="F0B3"/>
            </w:r>
            <w:r>
              <w:rPr>
                <w:sz w:val="20"/>
              </w:rPr>
              <w:t xml:space="preserve"> 12,2</w:t>
            </w:r>
          </w:p>
        </w:tc>
      </w:tr>
      <w:tr w:rsidR="00255387" w:rsidTr="0018436F">
        <w:trPr>
          <w:trHeight w:val="386"/>
        </w:trPr>
        <w:tc>
          <w:tcPr>
            <w:tcW w:w="2693" w:type="dxa"/>
          </w:tcPr>
          <w:p w:rsidR="00255387" w:rsidRDefault="00255387" w:rsidP="0018436F">
            <w:pPr>
              <w:tabs>
                <w:tab w:val="left" w:pos="2127"/>
              </w:tabs>
              <w:ind w:left="0"/>
              <w:rPr>
                <w:i/>
                <w:sz w:val="20"/>
              </w:rPr>
            </w:pPr>
            <w:r>
              <w:rPr>
                <w:i/>
                <w:sz w:val="20"/>
              </w:rPr>
              <w:t>Nedsatt glukostolerans/ fastehyperglykemi</w:t>
            </w:r>
          </w:p>
        </w:tc>
        <w:tc>
          <w:tcPr>
            <w:tcW w:w="1418" w:type="dxa"/>
          </w:tcPr>
          <w:p w:rsidR="00255387" w:rsidRDefault="00255387" w:rsidP="0018436F">
            <w:pPr>
              <w:tabs>
                <w:tab w:val="left" w:pos="2127"/>
              </w:tabs>
              <w:ind w:left="0"/>
              <w:jc w:val="center"/>
              <w:rPr>
                <w:sz w:val="20"/>
              </w:rPr>
            </w:pPr>
          </w:p>
        </w:tc>
        <w:tc>
          <w:tcPr>
            <w:tcW w:w="1276" w:type="dxa"/>
          </w:tcPr>
          <w:p w:rsidR="00255387" w:rsidRDefault="00255387" w:rsidP="0018436F">
            <w:pPr>
              <w:tabs>
                <w:tab w:val="left" w:pos="2127"/>
              </w:tabs>
              <w:ind w:left="0"/>
              <w:jc w:val="center"/>
              <w:rPr>
                <w:sz w:val="20"/>
              </w:rPr>
            </w:pPr>
          </w:p>
        </w:tc>
        <w:tc>
          <w:tcPr>
            <w:tcW w:w="1275" w:type="dxa"/>
          </w:tcPr>
          <w:p w:rsidR="00255387" w:rsidRDefault="00255387" w:rsidP="0018436F">
            <w:pPr>
              <w:tabs>
                <w:tab w:val="left" w:pos="2127"/>
              </w:tabs>
              <w:ind w:left="0"/>
              <w:jc w:val="center"/>
              <w:rPr>
                <w:sz w:val="20"/>
              </w:rPr>
            </w:pPr>
          </w:p>
        </w:tc>
        <w:tc>
          <w:tcPr>
            <w:tcW w:w="1177" w:type="dxa"/>
          </w:tcPr>
          <w:p w:rsidR="00255387" w:rsidRDefault="00255387" w:rsidP="0018436F">
            <w:pPr>
              <w:tabs>
                <w:tab w:val="left" w:pos="2127"/>
              </w:tabs>
              <w:ind w:left="0"/>
              <w:jc w:val="center"/>
              <w:rPr>
                <w:sz w:val="20"/>
              </w:rPr>
            </w:pPr>
          </w:p>
        </w:tc>
      </w:tr>
      <w:tr w:rsidR="00255387" w:rsidTr="0018436F">
        <w:trPr>
          <w:trHeight w:val="387"/>
        </w:trPr>
        <w:tc>
          <w:tcPr>
            <w:tcW w:w="2693" w:type="dxa"/>
          </w:tcPr>
          <w:p w:rsidR="00255387" w:rsidRDefault="00255387" w:rsidP="0018436F">
            <w:pPr>
              <w:tabs>
                <w:tab w:val="left" w:pos="2127"/>
              </w:tabs>
              <w:ind w:left="0"/>
              <w:rPr>
                <w:sz w:val="20"/>
              </w:rPr>
            </w:pPr>
            <w:r>
              <w:rPr>
                <w:sz w:val="20"/>
              </w:rPr>
              <w:t>Fastande</w:t>
            </w:r>
          </w:p>
        </w:tc>
        <w:tc>
          <w:tcPr>
            <w:tcW w:w="1418" w:type="dxa"/>
          </w:tcPr>
          <w:p w:rsidR="00255387" w:rsidRDefault="00255387" w:rsidP="0018436F">
            <w:pPr>
              <w:tabs>
                <w:tab w:val="left" w:pos="2127"/>
              </w:tabs>
              <w:ind w:left="0"/>
              <w:jc w:val="center"/>
              <w:rPr>
                <w:sz w:val="20"/>
              </w:rPr>
            </w:pPr>
            <w:r>
              <w:rPr>
                <w:sz w:val="20"/>
              </w:rPr>
              <w:t>5,6-6,0</w:t>
            </w:r>
          </w:p>
        </w:tc>
        <w:tc>
          <w:tcPr>
            <w:tcW w:w="1276" w:type="dxa"/>
          </w:tcPr>
          <w:p w:rsidR="00255387" w:rsidRDefault="00255387" w:rsidP="0018436F">
            <w:pPr>
              <w:tabs>
                <w:tab w:val="left" w:pos="2127"/>
              </w:tabs>
              <w:ind w:left="0"/>
              <w:jc w:val="center"/>
              <w:rPr>
                <w:sz w:val="20"/>
              </w:rPr>
            </w:pPr>
            <w:r>
              <w:rPr>
                <w:sz w:val="20"/>
              </w:rPr>
              <w:t>5,6-6,0</w:t>
            </w:r>
          </w:p>
        </w:tc>
        <w:tc>
          <w:tcPr>
            <w:tcW w:w="1275" w:type="dxa"/>
          </w:tcPr>
          <w:p w:rsidR="00255387" w:rsidRDefault="00255387" w:rsidP="0018436F">
            <w:pPr>
              <w:tabs>
                <w:tab w:val="left" w:pos="2127"/>
              </w:tabs>
              <w:ind w:left="0"/>
              <w:jc w:val="center"/>
              <w:rPr>
                <w:sz w:val="20"/>
              </w:rPr>
            </w:pPr>
            <w:r>
              <w:rPr>
                <w:sz w:val="20"/>
              </w:rPr>
              <w:t>6,1-6,9</w:t>
            </w:r>
          </w:p>
        </w:tc>
        <w:tc>
          <w:tcPr>
            <w:tcW w:w="1177" w:type="dxa"/>
          </w:tcPr>
          <w:p w:rsidR="00255387" w:rsidRDefault="00255387" w:rsidP="0018436F">
            <w:pPr>
              <w:tabs>
                <w:tab w:val="left" w:pos="2127"/>
              </w:tabs>
              <w:ind w:left="0"/>
              <w:jc w:val="center"/>
              <w:rPr>
                <w:sz w:val="20"/>
              </w:rPr>
            </w:pPr>
            <w:r>
              <w:rPr>
                <w:sz w:val="20"/>
              </w:rPr>
              <w:t>6,1-6,9</w:t>
            </w:r>
          </w:p>
        </w:tc>
      </w:tr>
      <w:tr w:rsidR="00255387" w:rsidTr="0018436F">
        <w:trPr>
          <w:trHeight w:val="387"/>
        </w:trPr>
        <w:tc>
          <w:tcPr>
            <w:tcW w:w="2693" w:type="dxa"/>
          </w:tcPr>
          <w:p w:rsidR="00255387" w:rsidRDefault="00255387" w:rsidP="0018436F">
            <w:pPr>
              <w:tabs>
                <w:tab w:val="left" w:pos="2127"/>
              </w:tabs>
              <w:ind w:left="0"/>
              <w:rPr>
                <w:sz w:val="20"/>
              </w:rPr>
            </w:pPr>
            <w:r>
              <w:rPr>
                <w:sz w:val="20"/>
              </w:rPr>
              <w:t>Tvåtimmarsvärde (OGTT)</w:t>
            </w:r>
          </w:p>
        </w:tc>
        <w:tc>
          <w:tcPr>
            <w:tcW w:w="1418" w:type="dxa"/>
          </w:tcPr>
          <w:p w:rsidR="00255387" w:rsidRDefault="00255387" w:rsidP="0018436F">
            <w:pPr>
              <w:tabs>
                <w:tab w:val="left" w:pos="2127"/>
              </w:tabs>
              <w:ind w:left="0"/>
              <w:jc w:val="center"/>
              <w:rPr>
                <w:sz w:val="20"/>
              </w:rPr>
            </w:pPr>
            <w:r>
              <w:rPr>
                <w:sz w:val="20"/>
              </w:rPr>
              <w:t>6,7-9,9</w:t>
            </w:r>
          </w:p>
        </w:tc>
        <w:tc>
          <w:tcPr>
            <w:tcW w:w="1276" w:type="dxa"/>
          </w:tcPr>
          <w:p w:rsidR="00255387" w:rsidRDefault="00255387" w:rsidP="0018436F">
            <w:pPr>
              <w:tabs>
                <w:tab w:val="left" w:pos="2127"/>
              </w:tabs>
              <w:ind w:left="0"/>
              <w:jc w:val="center"/>
              <w:rPr>
                <w:sz w:val="20"/>
              </w:rPr>
            </w:pPr>
            <w:r>
              <w:rPr>
                <w:sz w:val="20"/>
              </w:rPr>
              <w:t>7,8-11,0</w:t>
            </w:r>
          </w:p>
        </w:tc>
        <w:tc>
          <w:tcPr>
            <w:tcW w:w="1275" w:type="dxa"/>
          </w:tcPr>
          <w:p w:rsidR="00255387" w:rsidRDefault="00255387" w:rsidP="0018436F">
            <w:pPr>
              <w:tabs>
                <w:tab w:val="left" w:pos="2127"/>
              </w:tabs>
              <w:ind w:left="0"/>
              <w:jc w:val="center"/>
              <w:rPr>
                <w:sz w:val="20"/>
              </w:rPr>
            </w:pPr>
            <w:r>
              <w:rPr>
                <w:sz w:val="20"/>
              </w:rPr>
              <w:t>7,8-11,0</w:t>
            </w:r>
          </w:p>
        </w:tc>
        <w:tc>
          <w:tcPr>
            <w:tcW w:w="1177" w:type="dxa"/>
          </w:tcPr>
          <w:p w:rsidR="00255387" w:rsidRDefault="00255387" w:rsidP="0018436F">
            <w:pPr>
              <w:tabs>
                <w:tab w:val="left" w:pos="2127"/>
              </w:tabs>
              <w:ind w:left="0"/>
              <w:jc w:val="center"/>
              <w:rPr>
                <w:sz w:val="20"/>
              </w:rPr>
            </w:pPr>
            <w:r>
              <w:rPr>
                <w:sz w:val="20"/>
              </w:rPr>
              <w:t>8,9-12,1</w:t>
            </w:r>
          </w:p>
        </w:tc>
      </w:tr>
    </w:tbl>
    <w:p w:rsidR="00255387" w:rsidRDefault="00255387" w:rsidP="00255387">
      <w:r>
        <w:t>OGTT (oral glucose tolerance test)= peroral glukosbelastning med 75 g glukos.</w:t>
      </w:r>
    </w:p>
    <w:p w:rsidR="00255387" w:rsidRDefault="00255387" w:rsidP="00255387">
      <w:r>
        <w:t>Plasmaglukosvärdet är ca 1,12 x blodglukosvärdet.</w:t>
      </w:r>
    </w:p>
    <w:p w:rsidR="00255387" w:rsidRDefault="00255387" w:rsidP="00255387">
      <w:r>
        <w:t>Cerebrospinalvätska: Som komplement vid utredning av meningiter, laktat ska vara förstahandsval.</w:t>
      </w:r>
      <w:r>
        <w:br/>
        <w:t>Ledvätska: Vid differentialdiagnostiska överväganden mellan bakteriell och icke-bakteriell artrit, laktat ska vara förstahandsval.</w:t>
      </w:r>
    </w:p>
    <w:p w:rsidR="00255387" w:rsidRDefault="00255387" w:rsidP="00255387">
      <w:pPr>
        <w:pStyle w:val="Rubrik1"/>
      </w:pPr>
      <w:r>
        <w:t>Metodprincip</w:t>
      </w:r>
    </w:p>
    <w:p w:rsidR="00255387" w:rsidRDefault="00255387" w:rsidP="00255387">
      <w:r>
        <w:t xml:space="preserve">Glukos fosforylseras med hexokinas i närvaro av adenosintrifosfat (ATP) och magnesiumjoner för att ge glukos-6-fosfat (G6P) och adensindifosfat (ADP). G6P-dehydrogenas oxiderar specifikt G6P till </w:t>
      </w:r>
      <w:r>
        <w:br/>
        <w:t xml:space="preserve">6-fosfoglukonat med samtidig reduktion av NAD till NADH. </w:t>
      </w:r>
      <w:r>
        <w:br/>
        <w:t>NADH-ökningen detekteras via absorbansmätning vid 340 nm.</w:t>
      </w:r>
    </w:p>
    <w:p w:rsidR="00255387" w:rsidRDefault="00255387" w:rsidP="00255387">
      <w:pPr>
        <w:pStyle w:val="Rubrik2"/>
      </w:pPr>
      <w:r>
        <w:t>Mätintervall</w:t>
      </w:r>
    </w:p>
    <w:p w:rsidR="00255387" w:rsidRDefault="00255387" w:rsidP="00255387">
      <w:r>
        <w:t xml:space="preserve">0,06 – 44,4 mmol/L. </w:t>
      </w:r>
      <w:r>
        <w:br/>
        <w:t>Vid högre resultat späder instrumentet</w:t>
      </w:r>
      <w:r w:rsidR="00673086">
        <w:t xml:space="preserve"> automatiskt</w:t>
      </w:r>
      <w:r>
        <w:t xml:space="preserve"> provet 1:5 och analyserar om det. </w:t>
      </w:r>
      <w:r w:rsidR="00673086">
        <w:br/>
      </w:r>
      <w:r>
        <w:t>Är provet fortfarande för högt (&gt;222 mmol/L) späds provet manuellt med 0,15 mol/L NaCl.</w:t>
      </w:r>
    </w:p>
    <w:p w:rsidR="00255387" w:rsidRDefault="00255387" w:rsidP="00255387">
      <w:pPr>
        <w:pStyle w:val="Rubrik2"/>
      </w:pPr>
      <w:r>
        <w:t>Storhet</w:t>
      </w:r>
    </w:p>
    <w:p w:rsidR="00255387" w:rsidRDefault="00255387" w:rsidP="00255387">
      <w:r>
        <w:t>Substanskoncentration.</w:t>
      </w:r>
    </w:p>
    <w:p w:rsidR="00673086" w:rsidRDefault="00673086">
      <w:pPr>
        <w:keepNext w:val="0"/>
        <w:spacing w:before="0" w:after="0"/>
        <w:ind w:left="0"/>
        <w:rPr>
          <w:b/>
          <w:kern w:val="28"/>
          <w:sz w:val="24"/>
        </w:rPr>
      </w:pPr>
      <w:r>
        <w:br w:type="page"/>
      </w:r>
    </w:p>
    <w:p w:rsidR="00255387" w:rsidRDefault="00255387" w:rsidP="00255387">
      <w:pPr>
        <w:pStyle w:val="Rubrik1"/>
      </w:pPr>
      <w:r>
        <w:lastRenderedPageBreak/>
        <w:t>Mätosäkerhet</w:t>
      </w:r>
    </w:p>
    <w:p w:rsidR="00255387" w:rsidRDefault="00255387" w:rsidP="00255387">
      <w:r>
        <w:t>Rutiner för hur mätosäkerheten tas fram beskrivs i Verksamhetshandboken kapitel 6. Mätosäkerhet vid två nivåer finns angivet i ett separat dokument för hela KKF.</w:t>
      </w:r>
    </w:p>
    <w:p w:rsidR="00255387" w:rsidRDefault="00255387" w:rsidP="00255387">
      <w:pPr>
        <w:pStyle w:val="Rubrik1"/>
      </w:pPr>
      <w:r>
        <w:t>”Bra att veta”</w:t>
      </w:r>
    </w:p>
    <w:p w:rsidR="00255387" w:rsidRDefault="00255387" w:rsidP="00255387">
      <w:pPr>
        <w:tabs>
          <w:tab w:val="left" w:pos="2127"/>
          <w:tab w:val="center" w:pos="7797"/>
        </w:tabs>
      </w:pPr>
      <w:r>
        <w:t>Analysen är ackrediterad.</w:t>
      </w:r>
    </w:p>
    <w:p w:rsidR="00255387" w:rsidRDefault="00255387" w:rsidP="00255387">
      <w:pPr>
        <w:tabs>
          <w:tab w:val="left" w:pos="2127"/>
          <w:tab w:val="center" w:pos="7797"/>
        </w:tabs>
      </w:pPr>
      <w:r>
        <w:t>Citrat-citronsyra i provtagningsröret sänker pH till 5,5 och hämmar glykolysen omedelbart.</w:t>
      </w:r>
      <w:r>
        <w:br/>
        <w:t>Citrat-citronsyraröret innehåller också EDTA och NaF.</w:t>
      </w:r>
    </w:p>
    <w:p w:rsidR="00255387" w:rsidRDefault="00255387" w:rsidP="00255387">
      <w:pPr>
        <w:tabs>
          <w:tab w:val="left" w:pos="2127"/>
          <w:tab w:val="center" w:pos="7797"/>
        </w:tabs>
      </w:pPr>
      <w:r>
        <w:t>Referensintervallen har inte ändrats i samband med bytet till rör med citratbuffert.</w:t>
      </w:r>
    </w:p>
    <w:p w:rsidR="00255387" w:rsidRDefault="00255387" w:rsidP="00255387">
      <w:pPr>
        <w:tabs>
          <w:tab w:val="left" w:pos="2127"/>
          <w:tab w:val="center" w:pos="7797"/>
        </w:tabs>
        <w:rPr>
          <w:b/>
        </w:rPr>
      </w:pPr>
      <w:r>
        <w:t xml:space="preserve">Vid analys av andra kroppsvätskor bör blodprov analyseras </w:t>
      </w:r>
      <w:r>
        <w:tab/>
        <w:t>samtidigt (med samma analysmetod).</w:t>
      </w:r>
    </w:p>
    <w:p w:rsidR="00255387" w:rsidRDefault="00255387" w:rsidP="00255387">
      <w:pPr>
        <w:tabs>
          <w:tab w:val="left" w:pos="2127"/>
          <w:tab w:val="center" w:pos="7797"/>
        </w:tabs>
      </w:pPr>
      <w:r>
        <w:t>P-Glukos ger cirka 12% högre resultat än B-Glukos. Förhållandet</w:t>
      </w:r>
      <w:r>
        <w:br/>
        <w:t>mellan glukoskoncentrationen i blod och plasma är dock hematokrit</w:t>
      </w:r>
      <w:r w:rsidR="00673086">
        <w:t>-</w:t>
      </w:r>
      <w:r>
        <w:t>beroende, 12% hänförs till en normal hematokrit.</w:t>
      </w:r>
    </w:p>
    <w:p w:rsidR="00255387" w:rsidRDefault="00255387" w:rsidP="00255387">
      <w:pPr>
        <w:tabs>
          <w:tab w:val="left" w:pos="2127"/>
          <w:tab w:val="center" w:pos="7797"/>
        </w:tabs>
      </w:pPr>
      <w:r>
        <w:t>Vid instrumentlarm 1054 körs provet om automatiskt med prov-</w:t>
      </w:r>
      <w:r>
        <w:br/>
        <w:t>spädning 1:5.</w:t>
      </w:r>
    </w:p>
    <w:p w:rsidR="00255387" w:rsidRDefault="00255387" w:rsidP="00255387">
      <w:pPr>
        <w:tabs>
          <w:tab w:val="left" w:pos="2127"/>
          <w:tab w:val="center" w:pos="7797"/>
        </w:tabs>
      </w:pPr>
      <w:r>
        <w:t>Analysnummer 1069.</w:t>
      </w:r>
    </w:p>
    <w:p w:rsidR="00255387" w:rsidRDefault="00255387" w:rsidP="00255387">
      <w:pPr>
        <w:pStyle w:val="Rubrik1"/>
      </w:pPr>
      <w:r>
        <w:t>Hänvisningar</w:t>
      </w:r>
    </w:p>
    <w:p w:rsidR="00255387" w:rsidRDefault="00255387" w:rsidP="00255387">
      <w:pPr>
        <w:pStyle w:val="Rubrik2"/>
      </w:pPr>
      <w:r>
        <w:t>Referenser</w:t>
      </w:r>
    </w:p>
    <w:p w:rsidR="00255387" w:rsidRDefault="00255387" w:rsidP="00255387">
      <w:pPr>
        <w:pStyle w:val="Numreradlista"/>
      </w:pPr>
      <w:r>
        <w:t>Kitdokumentation från Abbott.</w:t>
      </w:r>
    </w:p>
    <w:p w:rsidR="00255387" w:rsidRDefault="00255387" w:rsidP="00255387">
      <w:pPr>
        <w:pStyle w:val="Numreradlista"/>
      </w:pPr>
      <w:r>
        <w:t>Laurells Klinisk kemi i praktisk medicin, 9:e uppl, sid 363-364.</w:t>
      </w:r>
    </w:p>
    <w:p w:rsidR="00255387" w:rsidRDefault="00255387" w:rsidP="00255387">
      <w:pPr>
        <w:pStyle w:val="Numreradlista"/>
      </w:pPr>
      <w:r>
        <w:t>Theodorsson E. Läkartidningen 95; 5157-62, 1998.</w:t>
      </w:r>
    </w:p>
    <w:p w:rsidR="00255387" w:rsidRPr="007B34CB" w:rsidRDefault="00255387" w:rsidP="00643AE6">
      <w:pPr>
        <w:pStyle w:val="Numreradlista"/>
      </w:pPr>
      <w:r>
        <w:t>Equalis: Nationell</w:t>
      </w:r>
      <w:r w:rsidR="00643AE6">
        <w:t>t konsensusdokumnet</w:t>
      </w:r>
      <w:r>
        <w:t xml:space="preserve"> för glukosmätningar</w:t>
      </w:r>
      <w:r w:rsidR="00643AE6">
        <w:t>, 2015.</w:t>
      </w:r>
      <w:r w:rsidR="00643AE6" w:rsidRPr="00643AE6">
        <w:t>http://www.equalis.se/sv/vaar-verksamhet/projekt/glukos-nationella-kvalitetsmaal/</w:t>
      </w:r>
    </w:p>
    <w:p w:rsidR="00255387" w:rsidRPr="00673086" w:rsidRDefault="00255387" w:rsidP="00255387">
      <w:pPr>
        <w:pStyle w:val="Numreradlista"/>
        <w:rPr>
          <w:lang w:val="en-US"/>
        </w:rPr>
      </w:pPr>
      <w:r>
        <w:rPr>
          <w:lang w:val="en-GB"/>
        </w:rPr>
        <w:t xml:space="preserve">Gambino et al. Acidification of blood is superior to sodium fluoride alone as an inhibitor of glycolysis. Clin Chem 55, 1019-1021. </w:t>
      </w:r>
      <w:r w:rsidRPr="00673086">
        <w:rPr>
          <w:lang w:val="en-US"/>
        </w:rPr>
        <w:t>2009.</w:t>
      </w:r>
    </w:p>
    <w:p w:rsidR="00255387" w:rsidRDefault="00255387" w:rsidP="00255387">
      <w:pPr>
        <w:pStyle w:val="Rubrik2"/>
      </w:pPr>
      <w:r>
        <w:t>Valideringar</w:t>
      </w:r>
    </w:p>
    <w:p w:rsidR="00255387" w:rsidRDefault="00255387" w:rsidP="00255387">
      <w:r>
        <w:t xml:space="preserve">Valideringsdokumentation finns på L:\Valideringar\Architect\Glukos </w:t>
      </w:r>
      <w:r>
        <w:br/>
        <w:t>(P-)  -  Architect (Ny Abbott)  -  anv Abbott  -  0609xx</w:t>
      </w:r>
    </w:p>
    <w:p w:rsidR="00673086" w:rsidRDefault="00673086">
      <w:pPr>
        <w:keepNext w:val="0"/>
        <w:spacing w:before="0" w:after="0"/>
        <w:ind w:left="0"/>
        <w:rPr>
          <w:b/>
          <w:kern w:val="28"/>
          <w:sz w:val="24"/>
        </w:rPr>
      </w:pPr>
      <w:r>
        <w:br w:type="page"/>
      </w:r>
    </w:p>
    <w:p w:rsidR="00255387" w:rsidRDefault="00255387" w:rsidP="00255387">
      <w:pPr>
        <w:pStyle w:val="Rubrik1"/>
      </w:pPr>
      <w:r>
        <w:lastRenderedPageBreak/>
        <w:t>Dokumenthistorik</w:t>
      </w:r>
    </w:p>
    <w:tbl>
      <w:tblPr>
        <w:tblW w:w="0" w:type="auto"/>
        <w:tblInd w:w="10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50"/>
        <w:gridCol w:w="5245"/>
        <w:gridCol w:w="2126"/>
      </w:tblGrid>
      <w:tr w:rsidR="00255387" w:rsidTr="0018436F">
        <w:tc>
          <w:tcPr>
            <w:tcW w:w="850" w:type="dxa"/>
          </w:tcPr>
          <w:p w:rsidR="00255387" w:rsidRDefault="00255387" w:rsidP="0018436F">
            <w:pPr>
              <w:spacing w:after="0"/>
              <w:ind w:left="0"/>
              <w:rPr>
                <w:sz w:val="16"/>
              </w:rPr>
            </w:pPr>
            <w:r>
              <w:rPr>
                <w:sz w:val="16"/>
              </w:rPr>
              <w:t>Version</w:t>
            </w:r>
          </w:p>
        </w:tc>
        <w:tc>
          <w:tcPr>
            <w:tcW w:w="5245" w:type="dxa"/>
          </w:tcPr>
          <w:p w:rsidR="00255387" w:rsidRDefault="00255387" w:rsidP="0018436F">
            <w:pPr>
              <w:spacing w:after="0"/>
              <w:ind w:left="0"/>
              <w:rPr>
                <w:sz w:val="16"/>
              </w:rPr>
            </w:pPr>
            <w:r>
              <w:rPr>
                <w:sz w:val="16"/>
              </w:rPr>
              <w:t>Orsak / ändring</w:t>
            </w:r>
          </w:p>
        </w:tc>
        <w:tc>
          <w:tcPr>
            <w:tcW w:w="2126" w:type="dxa"/>
          </w:tcPr>
          <w:p w:rsidR="00255387" w:rsidRDefault="00255387" w:rsidP="0018436F">
            <w:pPr>
              <w:spacing w:after="0"/>
              <w:ind w:left="0"/>
              <w:rPr>
                <w:sz w:val="16"/>
              </w:rPr>
            </w:pPr>
            <w:r>
              <w:rPr>
                <w:sz w:val="16"/>
              </w:rPr>
              <w:t>Senast ändrad av</w:t>
            </w:r>
          </w:p>
        </w:tc>
      </w:tr>
      <w:tr w:rsidR="00255387" w:rsidTr="0018436F">
        <w:tc>
          <w:tcPr>
            <w:tcW w:w="850" w:type="dxa"/>
          </w:tcPr>
          <w:p w:rsidR="00255387" w:rsidRDefault="00255387" w:rsidP="0018436F">
            <w:pPr>
              <w:pStyle w:val="Sidhuvud"/>
              <w:tabs>
                <w:tab w:val="clear" w:pos="9072"/>
              </w:tabs>
              <w:spacing w:before="60"/>
              <w:rPr>
                <w:rFonts w:ascii="Verdana" w:hAnsi="Verdana"/>
              </w:rPr>
            </w:pPr>
            <w:r>
              <w:rPr>
                <w:rFonts w:ascii="Verdana" w:hAnsi="Verdana"/>
              </w:rPr>
              <w:t>3.0</w:t>
            </w:r>
          </w:p>
        </w:tc>
        <w:tc>
          <w:tcPr>
            <w:tcW w:w="5245" w:type="dxa"/>
          </w:tcPr>
          <w:p w:rsidR="00255387" w:rsidRDefault="00255387" w:rsidP="0018436F">
            <w:pPr>
              <w:spacing w:after="0"/>
              <w:ind w:left="0"/>
              <w:rPr>
                <w:sz w:val="16"/>
              </w:rPr>
            </w:pPr>
            <w:r>
              <w:rPr>
                <w:sz w:val="16"/>
                <w:lang w:val="en-GB"/>
              </w:rPr>
              <w:t>2005-01-24:</w:t>
            </w:r>
            <w:r>
              <w:rPr>
                <w:sz w:val="16"/>
                <w:lang w:val="en-GB"/>
              </w:rPr>
              <w:br/>
              <w:t xml:space="preserve">Byte från Advia 1650 till Architect c8000. </w:t>
            </w:r>
            <w:r>
              <w:rPr>
                <w:sz w:val="16"/>
                <w:lang w:val="en-GB"/>
              </w:rPr>
              <w:br/>
            </w:r>
            <w:r>
              <w:rPr>
                <w:sz w:val="16"/>
              </w:rPr>
              <w:t>Byte från Bayerreagens B01-4130-01 till Abbott hexokinasmetod 7D66-20</w:t>
            </w:r>
          </w:p>
        </w:tc>
        <w:tc>
          <w:tcPr>
            <w:tcW w:w="2126" w:type="dxa"/>
          </w:tcPr>
          <w:p w:rsidR="00255387" w:rsidRDefault="00255387" w:rsidP="0018436F">
            <w:pPr>
              <w:spacing w:after="0"/>
              <w:ind w:left="0"/>
              <w:rPr>
                <w:sz w:val="16"/>
              </w:rPr>
            </w:pPr>
            <w:r>
              <w:rPr>
                <w:sz w:val="16"/>
              </w:rPr>
              <w:t>Birgitta Wande</w:t>
            </w:r>
          </w:p>
        </w:tc>
      </w:tr>
      <w:tr w:rsidR="00255387" w:rsidTr="0018436F">
        <w:tc>
          <w:tcPr>
            <w:tcW w:w="850" w:type="dxa"/>
          </w:tcPr>
          <w:p w:rsidR="00255387" w:rsidRDefault="00255387" w:rsidP="0018436F">
            <w:pPr>
              <w:pStyle w:val="Sidhuvud"/>
              <w:tabs>
                <w:tab w:val="clear" w:pos="9072"/>
              </w:tabs>
              <w:spacing w:before="60"/>
              <w:rPr>
                <w:rFonts w:ascii="Verdana" w:hAnsi="Verdana"/>
              </w:rPr>
            </w:pPr>
            <w:r>
              <w:rPr>
                <w:rFonts w:ascii="Verdana" w:hAnsi="Verdana"/>
              </w:rPr>
              <w:t>3.1</w:t>
            </w:r>
          </w:p>
        </w:tc>
        <w:tc>
          <w:tcPr>
            <w:tcW w:w="5245" w:type="dxa"/>
          </w:tcPr>
          <w:p w:rsidR="00255387" w:rsidRDefault="00255387" w:rsidP="0018436F">
            <w:pPr>
              <w:spacing w:after="0"/>
              <w:ind w:left="0"/>
              <w:rPr>
                <w:sz w:val="16"/>
              </w:rPr>
            </w:pPr>
            <w:r>
              <w:rPr>
                <w:sz w:val="16"/>
              </w:rPr>
              <w:t>2005-10-03:</w:t>
            </w:r>
            <w:r>
              <w:rPr>
                <w:sz w:val="16"/>
              </w:rPr>
              <w:br/>
              <w:t>Tidigare ref.int: vuxna: 4,0-6,1, fastevärde. Byter till WHO:s diabetesdiagnoskriterier vuxna: 4,0-6,0; barn oförändrat.</w:t>
            </w:r>
          </w:p>
        </w:tc>
        <w:tc>
          <w:tcPr>
            <w:tcW w:w="2126" w:type="dxa"/>
          </w:tcPr>
          <w:p w:rsidR="00255387" w:rsidRDefault="00255387" w:rsidP="0018436F">
            <w:pPr>
              <w:spacing w:after="0"/>
              <w:ind w:left="0"/>
              <w:rPr>
                <w:sz w:val="16"/>
              </w:rPr>
            </w:pPr>
            <w:r>
              <w:rPr>
                <w:sz w:val="16"/>
              </w:rPr>
              <w:t>Birgitta Wande</w:t>
            </w:r>
          </w:p>
        </w:tc>
      </w:tr>
      <w:tr w:rsidR="00255387" w:rsidTr="0018436F">
        <w:tc>
          <w:tcPr>
            <w:tcW w:w="850" w:type="dxa"/>
          </w:tcPr>
          <w:p w:rsidR="00255387" w:rsidRDefault="00255387" w:rsidP="0018436F">
            <w:pPr>
              <w:pStyle w:val="Sidhuvud"/>
              <w:tabs>
                <w:tab w:val="clear" w:pos="9072"/>
              </w:tabs>
              <w:spacing w:before="60"/>
              <w:rPr>
                <w:rFonts w:ascii="Verdana" w:hAnsi="Verdana"/>
              </w:rPr>
            </w:pPr>
            <w:r>
              <w:rPr>
                <w:rFonts w:ascii="Verdana" w:hAnsi="Verdana"/>
              </w:rPr>
              <w:t>3.2</w:t>
            </w:r>
          </w:p>
        </w:tc>
        <w:tc>
          <w:tcPr>
            <w:tcW w:w="5245" w:type="dxa"/>
          </w:tcPr>
          <w:p w:rsidR="00255387" w:rsidRDefault="00255387" w:rsidP="0018436F">
            <w:pPr>
              <w:spacing w:after="0"/>
              <w:ind w:left="0"/>
              <w:rPr>
                <w:sz w:val="16"/>
              </w:rPr>
            </w:pPr>
            <w:r>
              <w:rPr>
                <w:sz w:val="16"/>
              </w:rPr>
              <w:t>2006-11-01:</w:t>
            </w:r>
            <w:r>
              <w:rPr>
                <w:sz w:val="16"/>
              </w:rPr>
              <w:br/>
              <w:t>Byte till Abbottreagens 3L82, samma nivå, bättre Hb-interferens</w:t>
            </w:r>
          </w:p>
        </w:tc>
        <w:tc>
          <w:tcPr>
            <w:tcW w:w="2126" w:type="dxa"/>
          </w:tcPr>
          <w:p w:rsidR="00255387" w:rsidRDefault="00255387" w:rsidP="0018436F">
            <w:pPr>
              <w:spacing w:after="0"/>
              <w:ind w:left="0"/>
              <w:rPr>
                <w:sz w:val="16"/>
              </w:rPr>
            </w:pPr>
            <w:r>
              <w:rPr>
                <w:sz w:val="16"/>
              </w:rPr>
              <w:t>Birgitta Wande</w:t>
            </w:r>
          </w:p>
        </w:tc>
      </w:tr>
      <w:tr w:rsidR="00255387" w:rsidTr="0018436F">
        <w:trPr>
          <w:trHeight w:val="284"/>
        </w:trPr>
        <w:tc>
          <w:tcPr>
            <w:tcW w:w="850" w:type="dxa"/>
          </w:tcPr>
          <w:p w:rsidR="00255387" w:rsidRDefault="00255387" w:rsidP="0018436F">
            <w:pPr>
              <w:pStyle w:val="Sidhuvud"/>
              <w:tabs>
                <w:tab w:val="clear" w:pos="9072"/>
              </w:tabs>
              <w:spacing w:before="60"/>
              <w:rPr>
                <w:rFonts w:ascii="Verdana" w:hAnsi="Verdana"/>
              </w:rPr>
            </w:pPr>
            <w:r>
              <w:rPr>
                <w:rFonts w:ascii="Verdana" w:hAnsi="Verdana"/>
              </w:rPr>
              <w:t>1</w:t>
            </w:r>
          </w:p>
        </w:tc>
        <w:tc>
          <w:tcPr>
            <w:tcW w:w="5245" w:type="dxa"/>
          </w:tcPr>
          <w:p w:rsidR="00255387" w:rsidRDefault="00255387" w:rsidP="0018436F">
            <w:pPr>
              <w:spacing w:after="0"/>
              <w:ind w:left="0"/>
              <w:rPr>
                <w:sz w:val="16"/>
              </w:rPr>
            </w:pPr>
            <w:r>
              <w:rPr>
                <w:sz w:val="16"/>
              </w:rPr>
              <w:t>Införd i Centuri</w:t>
            </w:r>
          </w:p>
        </w:tc>
        <w:tc>
          <w:tcPr>
            <w:tcW w:w="2126" w:type="dxa"/>
          </w:tcPr>
          <w:p w:rsidR="00255387" w:rsidRDefault="00255387" w:rsidP="0018436F">
            <w:pPr>
              <w:spacing w:after="0"/>
              <w:ind w:left="0"/>
              <w:rPr>
                <w:sz w:val="16"/>
              </w:rPr>
            </w:pPr>
          </w:p>
        </w:tc>
      </w:tr>
      <w:tr w:rsidR="00255387" w:rsidTr="0018436F">
        <w:trPr>
          <w:trHeight w:val="284"/>
        </w:trPr>
        <w:tc>
          <w:tcPr>
            <w:tcW w:w="850" w:type="dxa"/>
          </w:tcPr>
          <w:p w:rsidR="00255387" w:rsidRDefault="00255387" w:rsidP="0018436F">
            <w:pPr>
              <w:pStyle w:val="Sidhuvud"/>
              <w:tabs>
                <w:tab w:val="clear" w:pos="9072"/>
              </w:tabs>
              <w:spacing w:before="60"/>
              <w:rPr>
                <w:rFonts w:ascii="Verdana" w:hAnsi="Verdana"/>
              </w:rPr>
            </w:pPr>
            <w:r>
              <w:rPr>
                <w:rFonts w:ascii="Verdana" w:hAnsi="Verdana"/>
              </w:rPr>
              <w:t>2</w:t>
            </w:r>
          </w:p>
        </w:tc>
        <w:tc>
          <w:tcPr>
            <w:tcW w:w="5245" w:type="dxa"/>
          </w:tcPr>
          <w:p w:rsidR="00255387" w:rsidRDefault="00255387" w:rsidP="0018436F">
            <w:pPr>
              <w:spacing w:after="0"/>
              <w:ind w:left="0"/>
              <w:rPr>
                <w:sz w:val="16"/>
              </w:rPr>
            </w:pPr>
            <w:r>
              <w:rPr>
                <w:sz w:val="16"/>
              </w:rPr>
              <w:t>Infört koder för dialysatpåsar. Översyn av provhantering.</w:t>
            </w:r>
          </w:p>
        </w:tc>
        <w:tc>
          <w:tcPr>
            <w:tcW w:w="2126" w:type="dxa"/>
          </w:tcPr>
          <w:p w:rsidR="00255387" w:rsidRDefault="00255387" w:rsidP="0018436F">
            <w:pPr>
              <w:spacing w:after="0"/>
              <w:ind w:left="0"/>
              <w:rPr>
                <w:sz w:val="16"/>
              </w:rPr>
            </w:pPr>
            <w:r>
              <w:rPr>
                <w:sz w:val="16"/>
              </w:rPr>
              <w:t>Birgitta Wande</w:t>
            </w:r>
          </w:p>
        </w:tc>
      </w:tr>
      <w:tr w:rsidR="00255387" w:rsidTr="0018436F">
        <w:trPr>
          <w:trHeight w:val="284"/>
        </w:trPr>
        <w:tc>
          <w:tcPr>
            <w:tcW w:w="850" w:type="dxa"/>
          </w:tcPr>
          <w:p w:rsidR="00255387" w:rsidRDefault="00255387" w:rsidP="0018436F">
            <w:pPr>
              <w:pStyle w:val="Sidhuvud"/>
              <w:tabs>
                <w:tab w:val="clear" w:pos="9072"/>
              </w:tabs>
              <w:spacing w:before="60"/>
              <w:rPr>
                <w:rFonts w:ascii="Verdana" w:hAnsi="Verdana"/>
              </w:rPr>
            </w:pPr>
            <w:r>
              <w:rPr>
                <w:rFonts w:ascii="Verdana" w:hAnsi="Verdana"/>
              </w:rPr>
              <w:t>3</w:t>
            </w:r>
          </w:p>
        </w:tc>
        <w:tc>
          <w:tcPr>
            <w:tcW w:w="5245" w:type="dxa"/>
          </w:tcPr>
          <w:p w:rsidR="00255387" w:rsidRDefault="00255387" w:rsidP="0018436F">
            <w:pPr>
              <w:spacing w:after="0"/>
              <w:ind w:left="0"/>
              <w:rPr>
                <w:sz w:val="16"/>
              </w:rPr>
            </w:pPr>
            <w:r>
              <w:rPr>
                <w:sz w:val="16"/>
              </w:rPr>
              <w:t>Infört nytt provtagningsrör med citrat-citronsyra.</w:t>
            </w:r>
          </w:p>
        </w:tc>
        <w:tc>
          <w:tcPr>
            <w:tcW w:w="2126" w:type="dxa"/>
          </w:tcPr>
          <w:p w:rsidR="00255387" w:rsidRDefault="00255387" w:rsidP="0018436F">
            <w:pPr>
              <w:spacing w:after="0"/>
              <w:ind w:left="0"/>
              <w:rPr>
                <w:sz w:val="16"/>
              </w:rPr>
            </w:pPr>
            <w:r>
              <w:rPr>
                <w:sz w:val="16"/>
              </w:rPr>
              <w:t>Birgitta Wande</w:t>
            </w:r>
          </w:p>
        </w:tc>
      </w:tr>
      <w:tr w:rsidR="00255387" w:rsidTr="0018436F">
        <w:trPr>
          <w:trHeight w:val="284"/>
        </w:trPr>
        <w:tc>
          <w:tcPr>
            <w:tcW w:w="850" w:type="dxa"/>
          </w:tcPr>
          <w:p w:rsidR="00255387" w:rsidRDefault="00255387" w:rsidP="0018436F">
            <w:pPr>
              <w:pStyle w:val="Sidhuvud"/>
              <w:tabs>
                <w:tab w:val="clear" w:pos="9072"/>
              </w:tabs>
              <w:spacing w:before="60"/>
              <w:rPr>
                <w:rFonts w:ascii="Verdana" w:hAnsi="Verdana"/>
              </w:rPr>
            </w:pPr>
            <w:r>
              <w:rPr>
                <w:rFonts w:ascii="Verdana" w:hAnsi="Verdana"/>
              </w:rPr>
              <w:t>4</w:t>
            </w:r>
          </w:p>
        </w:tc>
        <w:tc>
          <w:tcPr>
            <w:tcW w:w="5245" w:type="dxa"/>
          </w:tcPr>
          <w:p w:rsidR="00255387" w:rsidRDefault="00255387" w:rsidP="0018436F">
            <w:pPr>
              <w:spacing w:after="0"/>
              <w:ind w:left="0"/>
              <w:rPr>
                <w:sz w:val="16"/>
              </w:rPr>
            </w:pPr>
            <w:r>
              <w:rPr>
                <w:sz w:val="16"/>
              </w:rPr>
              <w:t>Tagit bort hemolysmätningen/kommenteringen</w:t>
            </w:r>
          </w:p>
        </w:tc>
        <w:tc>
          <w:tcPr>
            <w:tcW w:w="2126" w:type="dxa"/>
          </w:tcPr>
          <w:p w:rsidR="00255387" w:rsidRDefault="00255387" w:rsidP="0018436F">
            <w:pPr>
              <w:spacing w:after="0"/>
              <w:ind w:left="0"/>
              <w:rPr>
                <w:sz w:val="16"/>
              </w:rPr>
            </w:pPr>
            <w:r>
              <w:rPr>
                <w:sz w:val="16"/>
              </w:rPr>
              <w:t>Birgitta Wande</w:t>
            </w:r>
          </w:p>
        </w:tc>
      </w:tr>
      <w:tr w:rsidR="00255387" w:rsidTr="0018436F">
        <w:trPr>
          <w:trHeight w:val="284"/>
        </w:trPr>
        <w:tc>
          <w:tcPr>
            <w:tcW w:w="850" w:type="dxa"/>
          </w:tcPr>
          <w:p w:rsidR="00255387" w:rsidRDefault="00255387" w:rsidP="0018436F">
            <w:pPr>
              <w:pStyle w:val="Sidhuvud"/>
              <w:tabs>
                <w:tab w:val="clear" w:pos="9072"/>
              </w:tabs>
              <w:spacing w:before="60"/>
              <w:rPr>
                <w:rFonts w:ascii="Verdana" w:hAnsi="Verdana"/>
              </w:rPr>
            </w:pPr>
            <w:r>
              <w:rPr>
                <w:rFonts w:ascii="Verdana" w:hAnsi="Verdana"/>
              </w:rPr>
              <w:t>5</w:t>
            </w:r>
          </w:p>
        </w:tc>
        <w:tc>
          <w:tcPr>
            <w:tcW w:w="5245" w:type="dxa"/>
          </w:tcPr>
          <w:p w:rsidR="00255387" w:rsidRDefault="00255387" w:rsidP="0018436F">
            <w:pPr>
              <w:spacing w:after="0"/>
              <w:ind w:left="0"/>
              <w:rPr>
                <w:sz w:val="16"/>
              </w:rPr>
            </w:pPr>
            <w:r>
              <w:rPr>
                <w:sz w:val="16"/>
              </w:rPr>
              <w:t>Byter från Roch cfas-kalibrator till Abbott MCC.</w:t>
            </w:r>
          </w:p>
        </w:tc>
        <w:tc>
          <w:tcPr>
            <w:tcW w:w="2126" w:type="dxa"/>
          </w:tcPr>
          <w:p w:rsidR="00255387" w:rsidRDefault="00255387" w:rsidP="0018436F">
            <w:pPr>
              <w:spacing w:after="0"/>
              <w:ind w:left="0"/>
              <w:rPr>
                <w:sz w:val="16"/>
              </w:rPr>
            </w:pPr>
            <w:r>
              <w:rPr>
                <w:sz w:val="16"/>
              </w:rPr>
              <w:t>Birgitta Wande</w:t>
            </w:r>
          </w:p>
        </w:tc>
      </w:tr>
      <w:tr w:rsidR="00673086" w:rsidTr="0018436F">
        <w:trPr>
          <w:trHeight w:val="284"/>
        </w:trPr>
        <w:tc>
          <w:tcPr>
            <w:tcW w:w="850" w:type="dxa"/>
          </w:tcPr>
          <w:p w:rsidR="00673086" w:rsidRDefault="00673086" w:rsidP="0018436F">
            <w:pPr>
              <w:pStyle w:val="Sidhuvud"/>
              <w:tabs>
                <w:tab w:val="clear" w:pos="9072"/>
              </w:tabs>
              <w:spacing w:before="60"/>
              <w:rPr>
                <w:rFonts w:ascii="Verdana" w:hAnsi="Verdana"/>
              </w:rPr>
            </w:pPr>
            <w:r>
              <w:rPr>
                <w:rFonts w:ascii="Verdana" w:hAnsi="Verdana"/>
              </w:rPr>
              <w:t>6</w:t>
            </w:r>
          </w:p>
        </w:tc>
        <w:tc>
          <w:tcPr>
            <w:tcW w:w="5245" w:type="dxa"/>
          </w:tcPr>
          <w:p w:rsidR="00673086" w:rsidRDefault="00673086" w:rsidP="0018436F">
            <w:pPr>
              <w:spacing w:after="0"/>
              <w:ind w:left="0"/>
              <w:rPr>
                <w:sz w:val="16"/>
              </w:rPr>
            </w:pPr>
            <w:r>
              <w:rPr>
                <w:sz w:val="16"/>
              </w:rPr>
              <w:t>Byter rekommenderat rör för kroppsvätskor från EDTA till Na-Heparin</w:t>
            </w:r>
          </w:p>
        </w:tc>
        <w:tc>
          <w:tcPr>
            <w:tcW w:w="2126" w:type="dxa"/>
          </w:tcPr>
          <w:p w:rsidR="00673086" w:rsidRDefault="00673086" w:rsidP="0018436F">
            <w:pPr>
              <w:spacing w:after="0"/>
              <w:ind w:left="0"/>
              <w:rPr>
                <w:sz w:val="16"/>
              </w:rPr>
            </w:pPr>
            <w:r>
              <w:rPr>
                <w:sz w:val="16"/>
              </w:rPr>
              <w:t>Birgitta Wande</w:t>
            </w:r>
          </w:p>
        </w:tc>
      </w:tr>
    </w:tbl>
    <w:p w:rsidR="002B0A8E" w:rsidRPr="00255387" w:rsidRDefault="002B0A8E" w:rsidP="004A3A0B">
      <w:pPr>
        <w:ind w:left="0"/>
      </w:pPr>
    </w:p>
    <w:sectPr w:rsidR="002B0A8E" w:rsidRPr="002553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851" w:left="1417" w:header="426"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702" w:rsidRDefault="00DA6702">
      <w:r>
        <w:separator/>
      </w:r>
    </w:p>
  </w:endnote>
  <w:endnote w:type="continuationSeparator" w:id="0">
    <w:p w:rsidR="00DA6702" w:rsidRDefault="00DA6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87" w:rsidRDefault="0025538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87" w:rsidRDefault="00255387" w:rsidP="00255387">
    <w:pPr>
      <w:pStyle w:val="Sidfot"/>
      <w:rPr>
        <w:rFonts w:ascii="Arial" w:hAnsi="Arial"/>
        <w:sz w:val="12"/>
      </w:rPr>
    </w:pPr>
    <w:r>
      <w:rPr>
        <w:rFonts w:ascii="Arial" w:hAnsi="Arial"/>
        <w:snapToGrid w:val="0"/>
        <w:sz w:val="12"/>
        <w:lang w:eastAsia="sv-SE"/>
      </w:rPr>
      <w:tab/>
      <w:t>Original lagras elektroniskt. Giltig utskrift på papper med blå kant.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87" w:rsidRDefault="002553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702" w:rsidRDefault="00DA6702">
      <w:r>
        <w:separator/>
      </w:r>
    </w:p>
  </w:footnote>
  <w:footnote w:type="continuationSeparator" w:id="0">
    <w:p w:rsidR="00DA6702" w:rsidRDefault="00DA6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87" w:rsidRDefault="002553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87" w:rsidRDefault="00255387" w:rsidP="00255387">
    <w:pPr>
      <w:pStyle w:val="Sidhuvud"/>
      <w:jc w:val="right"/>
    </w:pPr>
    <w:r>
      <w:t xml:space="preserve">sida </w:t>
    </w:r>
    <w:r>
      <w:rPr>
        <w:rStyle w:val="Sidnummer"/>
      </w:rPr>
      <w:fldChar w:fldCharType="begin"/>
    </w:r>
    <w:r>
      <w:rPr>
        <w:rStyle w:val="Sidnummer"/>
      </w:rPr>
      <w:instrText xml:space="preserve"> PAGE </w:instrText>
    </w:r>
    <w:r>
      <w:rPr>
        <w:rStyle w:val="Sidnummer"/>
      </w:rPr>
      <w:fldChar w:fldCharType="separate"/>
    </w:r>
    <w:r w:rsidR="00C94421">
      <w:rPr>
        <w:rStyle w:val="Sidnummer"/>
        <w:noProof/>
      </w:rPr>
      <w:t>7</w:t>
    </w:r>
    <w:r>
      <w:rPr>
        <w:rStyle w:val="Sidnummer"/>
      </w:rPr>
      <w:fldChar w:fldCharType="end"/>
    </w:r>
    <w:r>
      <w:rPr>
        <w:rStyle w:val="Sidnummer"/>
      </w:rPr>
      <w:t xml:space="preserve"> </w:t>
    </w:r>
    <w:r>
      <w:t>(</w:t>
    </w:r>
    <w:r>
      <w:rPr>
        <w:rStyle w:val="Sidnummer"/>
      </w:rPr>
      <w:fldChar w:fldCharType="begin"/>
    </w:r>
    <w:r>
      <w:rPr>
        <w:rStyle w:val="Sidnummer"/>
      </w:rPr>
      <w:instrText xml:space="preserve"> NUMPAGES </w:instrText>
    </w:r>
    <w:r>
      <w:rPr>
        <w:rStyle w:val="Sidnummer"/>
      </w:rPr>
      <w:fldChar w:fldCharType="separate"/>
    </w:r>
    <w:r w:rsidR="00C94421">
      <w:rPr>
        <w:rStyle w:val="Sidnummer"/>
        <w:noProof/>
      </w:rPr>
      <w:t>7</w:t>
    </w:r>
    <w:r>
      <w:rPr>
        <w:rStyle w:val="Sidnummer"/>
      </w:rPr>
      <w:fldChar w:fldCharType="end"/>
    </w:r>
    <w:r>
      <w:rPr>
        <w:rStyle w:val="Sidnummer"/>
      </w:rPr>
      <w:t>)</w:t>
    </w:r>
  </w:p>
  <w:tbl>
    <w:tblPr>
      <w:tblW w:w="0" w:type="auto"/>
      <w:tblLayout w:type="fixed"/>
      <w:tblCellMar>
        <w:left w:w="70" w:type="dxa"/>
        <w:right w:w="70" w:type="dxa"/>
      </w:tblCellMar>
      <w:tblLook w:val="0000" w:firstRow="0" w:lastRow="0" w:firstColumn="0" w:lastColumn="0" w:noHBand="0" w:noVBand="0"/>
    </w:tblPr>
    <w:tblGrid>
      <w:gridCol w:w="5032"/>
      <w:gridCol w:w="1108"/>
      <w:gridCol w:w="3070"/>
    </w:tblGrid>
    <w:tr w:rsidR="00255387" w:rsidTr="0018436F">
      <w:tc>
        <w:tcPr>
          <w:tcW w:w="5032" w:type="dxa"/>
        </w:tcPr>
        <w:p w:rsidR="00255387" w:rsidRDefault="00255387" w:rsidP="00255387">
          <w:pPr>
            <w:pStyle w:val="Sidhuvud"/>
          </w:pPr>
          <w:r>
            <w:t>Akademiska laboratoriet</w:t>
          </w:r>
        </w:p>
      </w:tc>
      <w:tc>
        <w:tcPr>
          <w:tcW w:w="1108" w:type="dxa"/>
        </w:tcPr>
        <w:p w:rsidR="00255387" w:rsidRDefault="00255387" w:rsidP="00255387">
          <w:pPr>
            <w:pStyle w:val="Sidhuvud"/>
            <w:jc w:val="right"/>
          </w:pPr>
          <w:r>
            <w:t>ID:</w:t>
          </w:r>
        </w:p>
      </w:tc>
      <w:tc>
        <w:tcPr>
          <w:tcW w:w="3070" w:type="dxa"/>
        </w:tcPr>
        <w:p w:rsidR="00255387" w:rsidRDefault="00682672" w:rsidP="00255387">
          <w:pPr>
            <w:pStyle w:val="Sidhuvud"/>
          </w:pPr>
          <w:fldSimple w:instr=" DOCPROPERTY &quot;DocNo&quot;  \* MERGEFORMAT ">
            <w:r w:rsidR="004D09C1">
              <w:t>AL5546-6</w:t>
            </w:r>
          </w:fldSimple>
        </w:p>
      </w:tc>
    </w:tr>
    <w:tr w:rsidR="00255387" w:rsidTr="0018436F">
      <w:tc>
        <w:tcPr>
          <w:tcW w:w="5032" w:type="dxa"/>
        </w:tcPr>
        <w:p w:rsidR="00255387" w:rsidRDefault="00255387" w:rsidP="00255387">
          <w:pPr>
            <w:pStyle w:val="Sidhuvud"/>
          </w:pPr>
          <w:r>
            <w:t>Klinisk kemi och farmakologi</w:t>
          </w:r>
        </w:p>
      </w:tc>
      <w:tc>
        <w:tcPr>
          <w:tcW w:w="1108" w:type="dxa"/>
        </w:tcPr>
        <w:p w:rsidR="00255387" w:rsidRDefault="00255387" w:rsidP="00255387">
          <w:pPr>
            <w:pStyle w:val="Sidhuvud"/>
            <w:jc w:val="right"/>
          </w:pPr>
          <w:r>
            <w:t>Giltigt från:</w:t>
          </w:r>
        </w:p>
      </w:tc>
      <w:tc>
        <w:tcPr>
          <w:tcW w:w="3070" w:type="dxa"/>
        </w:tcPr>
        <w:p w:rsidR="00255387" w:rsidRDefault="00255387" w:rsidP="00255387">
          <w:pPr>
            <w:pStyle w:val="Sidhuvud"/>
          </w:pPr>
          <w:fldSimple w:instr=" DOCPROPERTY &quot;ValidFrom&quot;  \* MERGEFORMAT ">
            <w:r w:rsidR="004D09C1">
              <w:t>2015-09-17</w:t>
            </w:r>
          </w:fldSimple>
        </w:p>
      </w:tc>
    </w:tr>
    <w:tr w:rsidR="00255387" w:rsidTr="0018436F">
      <w:tc>
        <w:tcPr>
          <w:tcW w:w="5032" w:type="dxa"/>
        </w:tcPr>
        <w:p w:rsidR="00255387" w:rsidRDefault="00682672" w:rsidP="00255387">
          <w:pPr>
            <w:pStyle w:val="Sidhuvud"/>
          </w:pPr>
          <w:fldSimple w:instr=" DOCPROPERTY &quot;Category&quot;  \* MERGEFORMAT ">
            <w:r w:rsidR="004D09C1">
              <w:t>Metodbeskrivning</w:t>
            </w:r>
          </w:fldSimple>
        </w:p>
      </w:tc>
      <w:tc>
        <w:tcPr>
          <w:tcW w:w="1108" w:type="dxa"/>
        </w:tcPr>
        <w:p w:rsidR="00255387" w:rsidRDefault="00255387" w:rsidP="00255387">
          <w:pPr>
            <w:pStyle w:val="Sidhuvud"/>
            <w:jc w:val="right"/>
          </w:pPr>
          <w:r>
            <w:rPr>
              <w:lang w:eastAsia="sv-SE"/>
            </w:rPr>
            <w:t>Fastställd av:</w:t>
          </w:r>
        </w:p>
      </w:tc>
      <w:tc>
        <w:tcPr>
          <w:tcW w:w="3070" w:type="dxa"/>
        </w:tcPr>
        <w:p w:rsidR="00255387" w:rsidRDefault="00255387" w:rsidP="00255387">
          <w:pPr>
            <w:pStyle w:val="Sidhuvud"/>
          </w:pPr>
          <w:fldSimple w:instr=" DOCPROPERTY &quot;ApprovedBy&quot;  \* MERGEFORMAT ">
            <w:r w:rsidR="004D09C1">
              <w:t>Peter Ridefelt</w:t>
            </w:r>
          </w:fldSimple>
        </w:p>
      </w:tc>
    </w:tr>
    <w:tr w:rsidR="00255387" w:rsidRPr="00267C82" w:rsidTr="0018436F">
      <w:trPr>
        <w:cantSplit/>
      </w:trPr>
      <w:tc>
        <w:tcPr>
          <w:tcW w:w="9210" w:type="dxa"/>
          <w:gridSpan w:val="3"/>
        </w:tcPr>
        <w:p w:rsidR="00255387" w:rsidRPr="00673086" w:rsidRDefault="00255387" w:rsidP="00255387">
          <w:pPr>
            <w:pStyle w:val="Sidhuvud"/>
            <w:spacing w:before="120"/>
            <w:rPr>
              <w:b/>
              <w:lang w:val="en-US"/>
            </w:rPr>
          </w:pPr>
          <w:r>
            <w:rPr>
              <w:b/>
            </w:rPr>
            <w:fldChar w:fldCharType="begin"/>
          </w:r>
          <w:r w:rsidRPr="00673086">
            <w:rPr>
              <w:b/>
              <w:lang w:val="en-US"/>
            </w:rPr>
            <w:instrText xml:space="preserve"> TITLE  \* MERGEFORMAT </w:instrText>
          </w:r>
          <w:r>
            <w:rPr>
              <w:b/>
            </w:rPr>
            <w:fldChar w:fldCharType="separate"/>
          </w:r>
          <w:proofErr w:type="spellStart"/>
          <w:r w:rsidR="004D09C1">
            <w:rPr>
              <w:b/>
              <w:lang w:val="en-US"/>
            </w:rPr>
            <w:t>Glukos</w:t>
          </w:r>
          <w:proofErr w:type="spellEnd"/>
          <w:r w:rsidR="004D09C1">
            <w:rPr>
              <w:b/>
              <w:lang w:val="en-US"/>
            </w:rPr>
            <w:t>, P</w:t>
          </w:r>
          <w:proofErr w:type="gramStart"/>
          <w:r w:rsidR="004D09C1">
            <w:rPr>
              <w:b/>
              <w:lang w:val="en-US"/>
            </w:rPr>
            <w:t>-,Csv</w:t>
          </w:r>
          <w:proofErr w:type="gramEnd"/>
          <w:r w:rsidR="004D09C1">
            <w:rPr>
              <w:b/>
              <w:lang w:val="en-US"/>
            </w:rPr>
            <w:t>-,</w:t>
          </w:r>
          <w:proofErr w:type="spellStart"/>
          <w:r w:rsidR="004D09C1">
            <w:rPr>
              <w:b/>
              <w:lang w:val="en-US"/>
            </w:rPr>
            <w:t>Ledv</w:t>
          </w:r>
          <w:proofErr w:type="spellEnd"/>
          <w:r w:rsidR="004D09C1">
            <w:rPr>
              <w:b/>
              <w:lang w:val="en-US"/>
            </w:rPr>
            <w:t>-, (Architect)</w:t>
          </w:r>
          <w:r>
            <w:rPr>
              <w:b/>
            </w:rPr>
            <w:fldChar w:fldCharType="end"/>
          </w:r>
        </w:p>
      </w:tc>
    </w:tr>
  </w:tbl>
  <w:p w:rsidR="00255387" w:rsidRPr="00673086" w:rsidRDefault="00255387" w:rsidP="00255387">
    <w:pPr>
      <w:pStyle w:val="Sidhuvud"/>
      <w:rPr>
        <w:u w:val="single"/>
        <w:lang w:val="en-US" w:eastAsia="sv-SE"/>
      </w:rPr>
    </w:pPr>
    <w:r w:rsidRPr="00673086">
      <w:rPr>
        <w:u w:val="single"/>
        <w:lang w:val="en-US" w:eastAsia="sv-SE"/>
      </w:rPr>
      <w:tab/>
    </w:r>
  </w:p>
  <w:p w:rsidR="00255387" w:rsidRPr="00673086" w:rsidRDefault="00255387" w:rsidP="00255387">
    <w:pPr>
      <w:pStyle w:val="Sidhuvud"/>
      <w:rPr>
        <w:u w:val="single"/>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387" w:rsidRDefault="002553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BEE9E40"/>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9B9E98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D44C72C"/>
    <w:lvl w:ilvl="0">
      <w:start w:val="1"/>
      <w:numFmt w:val="decimal"/>
      <w:pStyle w:val="Numreradlista"/>
      <w:lvlText w:val="%1."/>
      <w:lvlJc w:val="left"/>
      <w:pPr>
        <w:tabs>
          <w:tab w:val="num" w:pos="2552"/>
        </w:tabs>
        <w:ind w:left="2552" w:hanging="426"/>
      </w:pPr>
      <w:rPr>
        <w:rFonts w:hint="default"/>
      </w:rPr>
    </w:lvl>
  </w:abstractNum>
  <w:abstractNum w:abstractNumId="3" w15:restartNumberingAfterBreak="0">
    <w:nsid w:val="FFFFFF89"/>
    <w:multiLevelType w:val="singleLevel"/>
    <w:tmpl w:val="83B63C4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3F20D80"/>
    <w:multiLevelType w:val="singleLevel"/>
    <w:tmpl w:val="041D000F"/>
    <w:lvl w:ilvl="0">
      <w:start w:val="1"/>
      <w:numFmt w:val="decimal"/>
      <w:lvlText w:val="%1."/>
      <w:lvlJc w:val="left"/>
      <w:pPr>
        <w:tabs>
          <w:tab w:val="num" w:pos="360"/>
        </w:tabs>
        <w:ind w:left="360" w:hanging="360"/>
      </w:pPr>
    </w:lvl>
  </w:abstractNum>
  <w:abstractNum w:abstractNumId="5" w15:restartNumberingAfterBreak="0">
    <w:nsid w:val="079E76DA"/>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6" w15:restartNumberingAfterBreak="0">
    <w:nsid w:val="226370DE"/>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7" w15:restartNumberingAfterBreak="0">
    <w:nsid w:val="2C0E4EE8"/>
    <w:multiLevelType w:val="singleLevel"/>
    <w:tmpl w:val="69741998"/>
    <w:lvl w:ilvl="0">
      <w:start w:val="1"/>
      <w:numFmt w:val="bullet"/>
      <w:lvlText w:val=""/>
      <w:lvlJc w:val="left"/>
      <w:pPr>
        <w:tabs>
          <w:tab w:val="num" w:pos="1531"/>
        </w:tabs>
        <w:ind w:left="1531" w:hanging="397"/>
      </w:pPr>
      <w:rPr>
        <w:rFonts w:ascii="Symbol" w:hAnsi="Symbol" w:hint="default"/>
      </w:rPr>
    </w:lvl>
  </w:abstractNum>
  <w:abstractNum w:abstractNumId="8" w15:restartNumberingAfterBreak="0">
    <w:nsid w:val="30492A4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0D555E"/>
    <w:multiLevelType w:val="singleLevel"/>
    <w:tmpl w:val="041D000F"/>
    <w:lvl w:ilvl="0">
      <w:start w:val="1"/>
      <w:numFmt w:val="decimal"/>
      <w:lvlText w:val="%1."/>
      <w:lvlJc w:val="left"/>
      <w:pPr>
        <w:tabs>
          <w:tab w:val="num" w:pos="360"/>
        </w:tabs>
        <w:ind w:left="360" w:hanging="360"/>
      </w:pPr>
    </w:lvl>
  </w:abstractNum>
  <w:abstractNum w:abstractNumId="10" w15:restartNumberingAfterBreak="0">
    <w:nsid w:val="36146C5E"/>
    <w:multiLevelType w:val="singleLevel"/>
    <w:tmpl w:val="CD6AEFAE"/>
    <w:lvl w:ilvl="0">
      <w:start w:val="1"/>
      <w:numFmt w:val="bullet"/>
      <w:lvlText w:val=""/>
      <w:lvlJc w:val="left"/>
      <w:pPr>
        <w:tabs>
          <w:tab w:val="num" w:pos="1494"/>
        </w:tabs>
        <w:ind w:left="1474" w:hanging="340"/>
      </w:pPr>
      <w:rPr>
        <w:rFonts w:ascii="Symbol" w:hAnsi="Symbol" w:hint="default"/>
      </w:rPr>
    </w:lvl>
  </w:abstractNum>
  <w:abstractNum w:abstractNumId="11" w15:restartNumberingAfterBreak="0">
    <w:nsid w:val="38490684"/>
    <w:multiLevelType w:val="singleLevel"/>
    <w:tmpl w:val="4B767EA2"/>
    <w:lvl w:ilvl="0">
      <w:start w:val="1"/>
      <w:numFmt w:val="decimal"/>
      <w:lvlText w:val="%1."/>
      <w:lvlJc w:val="left"/>
      <w:pPr>
        <w:tabs>
          <w:tab w:val="num" w:pos="1494"/>
        </w:tabs>
        <w:ind w:left="1474" w:hanging="340"/>
      </w:pPr>
    </w:lvl>
  </w:abstractNum>
  <w:abstractNum w:abstractNumId="12" w15:restartNumberingAfterBreak="0">
    <w:nsid w:val="409B45D3"/>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43217D64"/>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6D50A2D"/>
    <w:multiLevelType w:val="singleLevel"/>
    <w:tmpl w:val="7590B150"/>
    <w:lvl w:ilvl="0">
      <w:start w:val="1"/>
      <w:numFmt w:val="bullet"/>
      <w:lvlText w:val=""/>
      <w:lvlJc w:val="left"/>
      <w:pPr>
        <w:tabs>
          <w:tab w:val="num" w:pos="1531"/>
        </w:tabs>
        <w:ind w:left="1531" w:hanging="397"/>
      </w:pPr>
      <w:rPr>
        <w:rFonts w:ascii="Symbol" w:hAnsi="Symbol" w:hint="default"/>
      </w:rPr>
    </w:lvl>
  </w:abstractNum>
  <w:abstractNum w:abstractNumId="15" w15:restartNumberingAfterBreak="0">
    <w:nsid w:val="4C330A6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C951B1"/>
    <w:multiLevelType w:val="singleLevel"/>
    <w:tmpl w:val="041D000F"/>
    <w:lvl w:ilvl="0">
      <w:start w:val="1"/>
      <w:numFmt w:val="decimal"/>
      <w:lvlText w:val="%1."/>
      <w:lvlJc w:val="left"/>
      <w:pPr>
        <w:tabs>
          <w:tab w:val="num" w:pos="360"/>
        </w:tabs>
        <w:ind w:left="360" w:hanging="360"/>
      </w:pPr>
    </w:lvl>
  </w:abstractNum>
  <w:abstractNum w:abstractNumId="17" w15:restartNumberingAfterBreak="0">
    <w:nsid w:val="51573D62"/>
    <w:multiLevelType w:val="singleLevel"/>
    <w:tmpl w:val="041D000F"/>
    <w:lvl w:ilvl="0">
      <w:start w:val="1"/>
      <w:numFmt w:val="decimal"/>
      <w:lvlText w:val="%1."/>
      <w:lvlJc w:val="left"/>
      <w:pPr>
        <w:tabs>
          <w:tab w:val="num" w:pos="360"/>
        </w:tabs>
        <w:ind w:left="360" w:hanging="360"/>
      </w:pPr>
    </w:lvl>
  </w:abstractNum>
  <w:abstractNum w:abstractNumId="18" w15:restartNumberingAfterBreak="0">
    <w:nsid w:val="520847F1"/>
    <w:multiLevelType w:val="singleLevel"/>
    <w:tmpl w:val="041D000F"/>
    <w:lvl w:ilvl="0">
      <w:start w:val="1"/>
      <w:numFmt w:val="decimal"/>
      <w:lvlText w:val="%1."/>
      <w:lvlJc w:val="left"/>
      <w:pPr>
        <w:tabs>
          <w:tab w:val="num" w:pos="360"/>
        </w:tabs>
        <w:ind w:left="360" w:hanging="360"/>
      </w:pPr>
    </w:lvl>
  </w:abstractNum>
  <w:abstractNum w:abstractNumId="19" w15:restartNumberingAfterBreak="0">
    <w:nsid w:val="521E0D9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084BDD"/>
    <w:multiLevelType w:val="singleLevel"/>
    <w:tmpl w:val="8A4631F4"/>
    <w:lvl w:ilvl="0">
      <w:start w:val="1"/>
      <w:numFmt w:val="bullet"/>
      <w:lvlText w:val=""/>
      <w:lvlJc w:val="left"/>
      <w:pPr>
        <w:tabs>
          <w:tab w:val="num" w:pos="1494"/>
        </w:tabs>
        <w:ind w:left="1474" w:hanging="340"/>
      </w:pPr>
      <w:rPr>
        <w:rFonts w:ascii="Symbol" w:hAnsi="Symbol" w:hint="default"/>
      </w:rPr>
    </w:lvl>
  </w:abstractNum>
  <w:abstractNum w:abstractNumId="21" w15:restartNumberingAfterBreak="0">
    <w:nsid w:val="5AC73B59"/>
    <w:multiLevelType w:val="singleLevel"/>
    <w:tmpl w:val="3AA40524"/>
    <w:lvl w:ilvl="0">
      <w:start w:val="1"/>
      <w:numFmt w:val="bullet"/>
      <w:lvlText w:val=""/>
      <w:lvlJc w:val="left"/>
      <w:pPr>
        <w:tabs>
          <w:tab w:val="num" w:pos="1531"/>
        </w:tabs>
        <w:ind w:left="1531" w:hanging="397"/>
      </w:pPr>
      <w:rPr>
        <w:rFonts w:ascii="Symbol" w:hAnsi="Symbol" w:hint="default"/>
      </w:rPr>
    </w:lvl>
  </w:abstractNum>
  <w:abstractNum w:abstractNumId="22" w15:restartNumberingAfterBreak="0">
    <w:nsid w:val="5F5E5BED"/>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23" w15:restartNumberingAfterBreak="0">
    <w:nsid w:val="60183C17"/>
    <w:multiLevelType w:val="singleLevel"/>
    <w:tmpl w:val="F89E6A44"/>
    <w:lvl w:ilvl="0">
      <w:start w:val="1"/>
      <w:numFmt w:val="decimal"/>
      <w:lvlText w:val="%1)"/>
      <w:lvlJc w:val="left"/>
      <w:pPr>
        <w:tabs>
          <w:tab w:val="num" w:pos="1494"/>
        </w:tabs>
        <w:ind w:left="1474" w:hanging="340"/>
      </w:pPr>
    </w:lvl>
  </w:abstractNum>
  <w:abstractNum w:abstractNumId="24" w15:restartNumberingAfterBreak="0">
    <w:nsid w:val="659561DF"/>
    <w:multiLevelType w:val="singleLevel"/>
    <w:tmpl w:val="7C66CB20"/>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687F101C"/>
    <w:multiLevelType w:val="singleLevel"/>
    <w:tmpl w:val="FB524106"/>
    <w:lvl w:ilvl="0">
      <w:numFmt w:val="bullet"/>
      <w:lvlText w:val="-"/>
      <w:lvlJc w:val="left"/>
      <w:pPr>
        <w:tabs>
          <w:tab w:val="num" w:pos="1494"/>
        </w:tabs>
        <w:ind w:left="1474" w:hanging="340"/>
      </w:pPr>
      <w:rPr>
        <w:rFonts w:hint="default"/>
      </w:rPr>
    </w:lvl>
  </w:abstractNum>
  <w:abstractNum w:abstractNumId="26" w15:restartNumberingAfterBreak="0">
    <w:nsid w:val="6B7F3C77"/>
    <w:multiLevelType w:val="singleLevel"/>
    <w:tmpl w:val="041D000F"/>
    <w:lvl w:ilvl="0">
      <w:start w:val="1"/>
      <w:numFmt w:val="decimal"/>
      <w:lvlText w:val="%1."/>
      <w:lvlJc w:val="left"/>
      <w:pPr>
        <w:tabs>
          <w:tab w:val="num" w:pos="360"/>
        </w:tabs>
        <w:ind w:left="360" w:hanging="360"/>
      </w:pPr>
    </w:lvl>
  </w:abstractNum>
  <w:abstractNum w:abstractNumId="27" w15:restartNumberingAfterBreak="0">
    <w:nsid w:val="71535391"/>
    <w:multiLevelType w:val="singleLevel"/>
    <w:tmpl w:val="041D000F"/>
    <w:lvl w:ilvl="0">
      <w:start w:val="1"/>
      <w:numFmt w:val="decimal"/>
      <w:lvlText w:val="%1."/>
      <w:lvlJc w:val="left"/>
      <w:pPr>
        <w:tabs>
          <w:tab w:val="num" w:pos="360"/>
        </w:tabs>
        <w:ind w:left="360" w:hanging="360"/>
      </w:pPr>
    </w:lvl>
  </w:abstractNum>
  <w:abstractNum w:abstractNumId="28" w15:restartNumberingAfterBreak="0">
    <w:nsid w:val="72BB4D3C"/>
    <w:multiLevelType w:val="singleLevel"/>
    <w:tmpl w:val="EB549B9A"/>
    <w:lvl w:ilvl="0">
      <w:start w:val="1"/>
      <w:numFmt w:val="bullet"/>
      <w:lvlText w:val=""/>
      <w:lvlJc w:val="left"/>
      <w:pPr>
        <w:tabs>
          <w:tab w:val="num" w:pos="1494"/>
        </w:tabs>
        <w:ind w:left="1474" w:hanging="340"/>
      </w:pPr>
      <w:rPr>
        <w:rFonts w:ascii="Symbol" w:hAnsi="Symbol" w:hint="default"/>
      </w:rPr>
    </w:lvl>
  </w:abstractNum>
  <w:abstractNum w:abstractNumId="29" w15:restartNumberingAfterBreak="0">
    <w:nsid w:val="75F046C5"/>
    <w:multiLevelType w:val="singleLevel"/>
    <w:tmpl w:val="A6440870"/>
    <w:lvl w:ilvl="0">
      <w:start w:val="1"/>
      <w:numFmt w:val="bullet"/>
      <w:lvlText w:val=""/>
      <w:lvlJc w:val="left"/>
      <w:pPr>
        <w:tabs>
          <w:tab w:val="num" w:pos="1531"/>
        </w:tabs>
        <w:ind w:left="1531" w:hanging="397"/>
      </w:pPr>
      <w:rPr>
        <w:rFonts w:ascii="Symbol" w:hAnsi="Symbol" w:hint="default"/>
      </w:rPr>
    </w:lvl>
  </w:abstractNum>
  <w:abstractNum w:abstractNumId="30" w15:restartNumberingAfterBreak="0">
    <w:nsid w:val="7EBF496C"/>
    <w:multiLevelType w:val="singleLevel"/>
    <w:tmpl w:val="90C8B0E0"/>
    <w:lvl w:ilvl="0">
      <w:start w:val="1"/>
      <w:numFmt w:val="bullet"/>
      <w:lvlText w:val=""/>
      <w:lvlJc w:val="left"/>
      <w:pPr>
        <w:tabs>
          <w:tab w:val="num" w:pos="1494"/>
        </w:tabs>
        <w:ind w:left="1474" w:hanging="340"/>
      </w:pPr>
      <w:rPr>
        <w:rFonts w:ascii="Symbol" w:hAnsi="Symbol" w:hint="default"/>
      </w:rPr>
    </w:lvl>
  </w:abstractNum>
  <w:abstractNum w:abstractNumId="31" w15:restartNumberingAfterBreak="0">
    <w:nsid w:val="7FB9246B"/>
    <w:multiLevelType w:val="singleLevel"/>
    <w:tmpl w:val="7590B150"/>
    <w:lvl w:ilvl="0">
      <w:start w:val="1"/>
      <w:numFmt w:val="bullet"/>
      <w:lvlText w:val=""/>
      <w:lvlJc w:val="left"/>
      <w:pPr>
        <w:tabs>
          <w:tab w:val="num" w:pos="1531"/>
        </w:tabs>
        <w:ind w:left="1531" w:hanging="397"/>
      </w:pPr>
      <w:rPr>
        <w:rFonts w:ascii="Symbol" w:hAnsi="Symbol" w:hint="default"/>
      </w:rPr>
    </w:lvl>
  </w:abstractNum>
  <w:num w:numId="1">
    <w:abstractNumId w:val="24"/>
  </w:num>
  <w:num w:numId="2">
    <w:abstractNumId w:val="15"/>
  </w:num>
  <w:num w:numId="3">
    <w:abstractNumId w:val="26"/>
  </w:num>
  <w:num w:numId="4">
    <w:abstractNumId w:val="22"/>
  </w:num>
  <w:num w:numId="5">
    <w:abstractNumId w:val="18"/>
  </w:num>
  <w:num w:numId="6">
    <w:abstractNumId w:val="9"/>
  </w:num>
  <w:num w:numId="7">
    <w:abstractNumId w:val="2"/>
  </w:num>
  <w:num w:numId="8">
    <w:abstractNumId w:val="6"/>
  </w:num>
  <w:num w:numId="9">
    <w:abstractNumId w:val="17"/>
  </w:num>
  <w:num w:numId="10">
    <w:abstractNumId w:val="5"/>
  </w:num>
  <w:num w:numId="11">
    <w:abstractNumId w:val="16"/>
  </w:num>
  <w:num w:numId="12">
    <w:abstractNumId w:val="13"/>
  </w:num>
  <w:num w:numId="13">
    <w:abstractNumId w:val="12"/>
  </w:num>
  <w:num w:numId="14">
    <w:abstractNumId w:val="4"/>
  </w:num>
  <w:num w:numId="15">
    <w:abstractNumId w:val="19"/>
  </w:num>
  <w:num w:numId="16">
    <w:abstractNumId w:val="27"/>
  </w:num>
  <w:num w:numId="17">
    <w:abstractNumId w:val="8"/>
  </w:num>
  <w:num w:numId="18">
    <w:abstractNumId w:val="3"/>
  </w:num>
  <w:num w:numId="19">
    <w:abstractNumId w:val="14"/>
  </w:num>
  <w:num w:numId="20">
    <w:abstractNumId w:val="31"/>
  </w:num>
  <w:num w:numId="21">
    <w:abstractNumId w:val="1"/>
  </w:num>
  <w:num w:numId="22">
    <w:abstractNumId w:val="7"/>
  </w:num>
  <w:num w:numId="23">
    <w:abstractNumId w:val="10"/>
  </w:num>
  <w:num w:numId="24">
    <w:abstractNumId w:val="11"/>
  </w:num>
  <w:num w:numId="25">
    <w:abstractNumId w:val="0"/>
  </w:num>
  <w:num w:numId="26">
    <w:abstractNumId w:val="29"/>
  </w:num>
  <w:num w:numId="27">
    <w:abstractNumId w:val="20"/>
  </w:num>
  <w:num w:numId="28">
    <w:abstractNumId w:val="21"/>
  </w:num>
  <w:num w:numId="29">
    <w:abstractNumId w:val="28"/>
  </w:num>
  <w:num w:numId="30">
    <w:abstractNumId w:val="30"/>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06"/>
    <w:rsid w:val="0003787E"/>
    <w:rsid w:val="001839AA"/>
    <w:rsid w:val="001C24CC"/>
    <w:rsid w:val="00255387"/>
    <w:rsid w:val="00267C82"/>
    <w:rsid w:val="002B0A8E"/>
    <w:rsid w:val="00406B06"/>
    <w:rsid w:val="00451081"/>
    <w:rsid w:val="004A3A0B"/>
    <w:rsid w:val="004D09C1"/>
    <w:rsid w:val="005012E9"/>
    <w:rsid w:val="00643AE6"/>
    <w:rsid w:val="00673086"/>
    <w:rsid w:val="00682672"/>
    <w:rsid w:val="00684098"/>
    <w:rsid w:val="007B34CB"/>
    <w:rsid w:val="008F047D"/>
    <w:rsid w:val="00982BD9"/>
    <w:rsid w:val="00A56E59"/>
    <w:rsid w:val="00A641F6"/>
    <w:rsid w:val="00AA4852"/>
    <w:rsid w:val="00B72428"/>
    <w:rsid w:val="00B87978"/>
    <w:rsid w:val="00C94421"/>
    <w:rsid w:val="00DA6702"/>
    <w:rsid w:val="00EC30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DA3A95-11E9-4C4E-95A9-070060EA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Next/>
      <w:spacing w:before="60" w:after="60"/>
      <w:ind w:left="1134"/>
    </w:pPr>
    <w:rPr>
      <w:rFonts w:ascii="Verdana" w:hAnsi="Verdana"/>
      <w:sz w:val="22"/>
      <w:lang w:eastAsia="ja-JP"/>
    </w:rPr>
  </w:style>
  <w:style w:type="paragraph" w:styleId="Rubrik1">
    <w:name w:val="heading 1"/>
    <w:basedOn w:val="Normal"/>
    <w:next w:val="Normal"/>
    <w:qFormat/>
    <w:pPr>
      <w:spacing w:before="240"/>
      <w:ind w:left="0"/>
      <w:outlineLvl w:val="0"/>
    </w:pPr>
    <w:rPr>
      <w:b/>
      <w:kern w:val="28"/>
      <w:sz w:val="24"/>
    </w:rPr>
  </w:style>
  <w:style w:type="paragraph" w:styleId="Rubrik2">
    <w:name w:val="heading 2"/>
    <w:basedOn w:val="Normal"/>
    <w:next w:val="Normal"/>
    <w:qFormat/>
    <w:pPr>
      <w:ind w:left="1021"/>
      <w:outlineLvl w:val="1"/>
    </w:pPr>
    <w:rPr>
      <w:b/>
    </w:rPr>
  </w:style>
  <w:style w:type="paragraph" w:styleId="Rubrik3">
    <w:name w:val="heading 3"/>
    <w:basedOn w:val="Normal"/>
    <w:next w:val="Normal"/>
    <w:qFormat/>
    <w:pPr>
      <w:spacing w:before="120"/>
      <w:ind w:left="1021"/>
      <w:outlineLvl w:val="2"/>
    </w:pPr>
    <w:rPr>
      <w:u w:val="single"/>
    </w:rPr>
  </w:style>
  <w:style w:type="paragraph" w:styleId="Rubrik4">
    <w:name w:val="heading 4"/>
    <w:basedOn w:val="Normal"/>
    <w:next w:val="Normal"/>
    <w:qFormat/>
    <w:pPr>
      <w:spacing w:before="120"/>
      <w:outlineLvl w:val="3"/>
    </w:pPr>
    <w:rPr>
      <w:u w:val="dotted"/>
    </w:rPr>
  </w:style>
  <w:style w:type="paragraph" w:styleId="Rubrik5">
    <w:name w:val="heading 5"/>
    <w:basedOn w:val="Normal"/>
    <w:next w:val="Normal"/>
    <w:qFormat/>
    <w:pPr>
      <w:outlineLvl w:val="4"/>
    </w:pPr>
  </w:style>
  <w:style w:type="paragraph" w:styleId="Rubrik6">
    <w:name w:val="heading 6"/>
    <w:basedOn w:val="Normal"/>
    <w:next w:val="Normal"/>
    <w:link w:val="Rubrik6Char"/>
    <w:semiHidden/>
    <w:unhideWhenUsed/>
    <w:qFormat/>
    <w:rsid w:val="00255387"/>
    <w:pPr>
      <w:keepLines/>
      <w:spacing w:before="40" w:after="0"/>
      <w:outlineLvl w:val="5"/>
    </w:pPr>
    <w:rPr>
      <w:rFonts w:asciiTheme="majorHAnsi" w:eastAsiaTheme="majorEastAsia" w:hAnsiTheme="majorHAnsi" w:cstheme="majorBidi"/>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right" w:pos="9072"/>
      </w:tabs>
      <w:spacing w:before="0" w:after="0"/>
      <w:ind w:left="0"/>
    </w:pPr>
    <w:rPr>
      <w:rFonts w:ascii="Arial" w:hAnsi="Arial"/>
      <w:sz w:val="16"/>
    </w:rPr>
  </w:style>
  <w:style w:type="paragraph" w:styleId="Sidfot">
    <w:name w:val="footer"/>
    <w:basedOn w:val="Normal"/>
    <w:pPr>
      <w:tabs>
        <w:tab w:val="center" w:pos="4536"/>
        <w:tab w:val="right" w:pos="9072"/>
      </w:tabs>
      <w:spacing w:after="0"/>
      <w:ind w:left="0"/>
    </w:pPr>
    <w:rPr>
      <w:sz w:val="16"/>
    </w:rPr>
  </w:style>
  <w:style w:type="character" w:styleId="Sidnummer">
    <w:name w:val="page number"/>
    <w:basedOn w:val="Standardstycketeckensnitt"/>
    <w:rPr>
      <w:rFonts w:ascii="Arial" w:hAnsi="Arial"/>
      <w:sz w:val="16"/>
    </w:rPr>
  </w:style>
  <w:style w:type="paragraph" w:styleId="Punktlista">
    <w:name w:val="List Bullet"/>
    <w:basedOn w:val="Normal"/>
    <w:autoRedefine/>
    <w:pPr>
      <w:numPr>
        <w:numId w:val="18"/>
      </w:numPr>
      <w:tabs>
        <w:tab w:val="clear" w:pos="360"/>
      </w:tabs>
      <w:spacing w:before="120" w:after="120"/>
      <w:ind w:left="1304" w:hanging="170"/>
    </w:pPr>
  </w:style>
  <w:style w:type="paragraph" w:styleId="Numreradlista">
    <w:name w:val="List Number"/>
    <w:basedOn w:val="Normal"/>
    <w:autoRedefine/>
    <w:pPr>
      <w:numPr>
        <w:numId w:val="7"/>
      </w:numPr>
      <w:tabs>
        <w:tab w:val="clear" w:pos="2552"/>
      </w:tabs>
      <w:spacing w:before="120" w:after="120"/>
      <w:ind w:left="1559" w:hanging="425"/>
    </w:pPr>
  </w:style>
  <w:style w:type="paragraph" w:customStyle="1" w:styleId="Titel">
    <w:name w:val="Titel"/>
    <w:basedOn w:val="Normal"/>
    <w:pPr>
      <w:spacing w:before="360" w:after="240"/>
      <w:ind w:left="0"/>
    </w:pPr>
    <w:rPr>
      <w:b/>
      <w:sz w:val="32"/>
    </w:rPr>
  </w:style>
  <w:style w:type="paragraph" w:styleId="Dokumentversikt">
    <w:name w:val="Document Map"/>
    <w:basedOn w:val="Normal"/>
    <w:semiHidden/>
    <w:pPr>
      <w:shd w:val="clear" w:color="auto" w:fill="000080"/>
    </w:pPr>
    <w:rPr>
      <w:rFonts w:ascii="Tahoma" w:hAnsi="Tahoma"/>
    </w:rPr>
  </w:style>
  <w:style w:type="paragraph" w:customStyle="1" w:styleId="Dokumenthistorik">
    <w:name w:val="Dokumenthistorik"/>
    <w:basedOn w:val="Normal"/>
    <w:rsid w:val="001C24CC"/>
    <w:pPr>
      <w:ind w:left="0"/>
    </w:pPr>
    <w:rPr>
      <w:sz w:val="16"/>
    </w:rPr>
  </w:style>
  <w:style w:type="paragraph" w:customStyle="1" w:styleId="Tabelltext">
    <w:name w:val="Tabelltext"/>
    <w:basedOn w:val="Normal"/>
    <w:pPr>
      <w:ind w:left="0"/>
    </w:pPr>
    <w:rPr>
      <w:sz w:val="20"/>
    </w:rPr>
  </w:style>
  <w:style w:type="character" w:customStyle="1" w:styleId="Rubrik6Char">
    <w:name w:val="Rubrik 6 Char"/>
    <w:basedOn w:val="Standardstycketeckensnitt"/>
    <w:link w:val="Rubrik6"/>
    <w:semiHidden/>
    <w:rsid w:val="00255387"/>
    <w:rPr>
      <w:rFonts w:asciiTheme="majorHAnsi" w:eastAsiaTheme="majorEastAsia" w:hAnsiTheme="majorHAnsi" w:cstheme="majorBidi"/>
      <w:color w:val="1F4D78" w:themeColor="accent1" w:themeShade="7F"/>
      <w:sz w:val="22"/>
      <w:lang w:eastAsia="ja-JP"/>
    </w:rPr>
  </w:style>
  <w:style w:type="paragraph" w:styleId="Brdtextmedindrag2">
    <w:name w:val="Body Text Indent 2"/>
    <w:basedOn w:val="Normal"/>
    <w:link w:val="Brdtextmedindrag2Char"/>
    <w:rsid w:val="00255387"/>
  </w:style>
  <w:style w:type="character" w:customStyle="1" w:styleId="Brdtextmedindrag2Char">
    <w:name w:val="Brödtext med indrag 2 Char"/>
    <w:basedOn w:val="Standardstycketeckensnitt"/>
    <w:link w:val="Brdtextmedindrag2"/>
    <w:rsid w:val="00255387"/>
    <w:rPr>
      <w:rFonts w:ascii="Verdana" w:hAnsi="Verdana"/>
      <w:sz w:val="22"/>
      <w:lang w:eastAsia="ja-JP"/>
    </w:rPr>
  </w:style>
  <w:style w:type="paragraph" w:styleId="Ballongtext">
    <w:name w:val="Balloon Text"/>
    <w:basedOn w:val="Normal"/>
    <w:link w:val="BallongtextChar"/>
    <w:rsid w:val="007B34CB"/>
    <w:pPr>
      <w:spacing w:before="0" w:after="0"/>
    </w:pPr>
    <w:rPr>
      <w:rFonts w:ascii="Segoe UI" w:hAnsi="Segoe UI" w:cs="Segoe UI"/>
      <w:sz w:val="18"/>
      <w:szCs w:val="18"/>
    </w:rPr>
  </w:style>
  <w:style w:type="character" w:customStyle="1" w:styleId="BallongtextChar">
    <w:name w:val="Ballongtext Char"/>
    <w:basedOn w:val="Standardstycketeckensnitt"/>
    <w:link w:val="Ballongtext"/>
    <w:rsid w:val="007B34CB"/>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1743</Words>
  <Characters>9244</Characters>
  <Application>Microsoft Office Word</Application>
  <DocSecurity>0</DocSecurity>
  <Lines>77</Lines>
  <Paragraphs>21</Paragraphs>
  <ScaleCrop>false</ScaleCrop>
  <HeadingPairs>
    <vt:vector size="2" baseType="variant">
      <vt:variant>
        <vt:lpstr>Rubrik</vt:lpstr>
      </vt:variant>
      <vt:variant>
        <vt:i4>1</vt:i4>
      </vt:variant>
    </vt:vector>
  </HeadingPairs>
  <TitlesOfParts>
    <vt:vector size="1" baseType="lpstr">
      <vt:lpstr>Glukos, P-,Csv-,Ledv-, (Architect)</vt:lpstr>
    </vt:vector>
  </TitlesOfParts>
  <Manager/>
  <Company>Akademiska Sjukhuset DAT Divisionen</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Glukos, P-,Csv-,Ledv-, (Architect)</dc:title>
  <dc:subject/>
  <dc:creator>Birgitta Wande</dc:creator>
  <cp:keywords/>
  <dc:description/>
  <cp:lastModifiedBy>Birgitta Högberg</cp:lastModifiedBy>
  <cp:revision>3</cp:revision>
  <cp:lastPrinted>2015-09-14T12:12:00Z</cp:lastPrinted>
  <dcterms:created xsi:type="dcterms:W3CDTF">2018-03-15T14:15:00Z</dcterms:created>
  <dcterms:modified xsi:type="dcterms:W3CDTF">2018-03-15T14:15:00Z</dcterms:modified>
  <cp:category>Metodbeskrivning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vt:lpwstr>
  </property>
  <property fmtid="{D5CDD505-2E9C-101B-9397-08002B2CF9AE}" pid="3" name="ValidFrom">
    <vt:lpwstr>2015-09-17</vt:lpwstr>
  </property>
  <property fmtid="{D5CDD505-2E9C-101B-9397-08002B2CF9AE}" pid="4" name="ApprovedBy">
    <vt:lpwstr>Peter Ridefelt</vt:lpwstr>
  </property>
  <property fmtid="{D5CDD505-2E9C-101B-9397-08002B2CF9AE}" pid="5" name="DocNo">
    <vt:lpwstr>AL5546-6</vt:lpwstr>
  </property>
  <property fmtid="{D5CDD505-2E9C-101B-9397-08002B2CF9AE}" pid="6" name="CTitle">
    <vt:lpwstr>Glukos, P-,Csv-,Ledv-, (Architect)</vt:lpwstr>
  </property>
  <property fmtid="{D5CDD505-2E9C-101B-9397-08002B2CF9AE}" pid="7" name="CCategory">
    <vt:lpwstr>Metodbeskrivning</vt:lpwstr>
  </property>
  <property fmtid="{D5CDD505-2E9C-101B-9397-08002B2CF9AE}" pid="8" name="RegNo">
    <vt:lpwstr>AL5546</vt:lpwstr>
  </property>
  <property fmtid="{D5CDD505-2E9C-101B-9397-08002B2CF9AE}" pid="9" name="Issue">
    <vt:lpwstr>6</vt:lpwstr>
  </property>
  <property fmtid="{D5CDD505-2E9C-101B-9397-08002B2CF9AE}" pid="10" name="DocumentNo">
    <vt:lpwstr>AL5546-6</vt:lpwstr>
  </property>
  <property fmtid="{D5CDD505-2E9C-101B-9397-08002B2CF9AE}" pid="11" name="Phase">
    <vt:lpwstr>Aktivt</vt:lpwstr>
  </property>
  <property fmtid="{D5CDD505-2E9C-101B-9397-08002B2CF9AE}" pid="12" name="Folder">
    <vt:lpwstr>Dat</vt:lpwstr>
  </property>
  <property fmtid="{D5CDD505-2E9C-101B-9397-08002B2CF9AE}" pid="13" name="EstablishedDate">
    <vt:lpwstr>2015-08-26</vt:lpwstr>
  </property>
  <property fmtid="{D5CDD505-2E9C-101B-9397-08002B2CF9AE}" pid="14" name="EstablishedBy">
    <vt:lpwstr>Birgitta Wande</vt:lpwstr>
  </property>
  <property fmtid="{D5CDD505-2E9C-101B-9397-08002B2CF9AE}" pid="15" name="EstablishedByOU">
    <vt:lpwstr>Kemi och farmakologi</vt:lpwstr>
  </property>
  <property fmtid="{D5CDD505-2E9C-101B-9397-08002B2CF9AE}" pid="16" name="EstablishedByTitle">
    <vt:lpwstr>AL KKF</vt:lpwstr>
  </property>
  <property fmtid="{D5CDD505-2E9C-101B-9397-08002B2CF9AE}" pid="17" name="EstablishedByPositionCode">
    <vt:lpwstr>KKF</vt:lpwstr>
  </property>
  <property fmtid="{D5CDD505-2E9C-101B-9397-08002B2CF9AE}" pid="18" name="Owner">
    <vt:lpwstr>Birgitta Wande</vt:lpwstr>
  </property>
  <property fmtid="{D5CDD505-2E9C-101B-9397-08002B2CF9AE}" pid="19" name="OwnerOU">
    <vt:lpwstr>Kemi och farmakologi</vt:lpwstr>
  </property>
  <property fmtid="{D5CDD505-2E9C-101B-9397-08002B2CF9AE}" pid="20" name="OwnerTitle">
    <vt:lpwstr>AL KKF</vt:lpwstr>
  </property>
  <property fmtid="{D5CDD505-2E9C-101B-9397-08002B2CF9AE}" pid="21" name="OwnerPositionCode">
    <vt:lpwstr>KKF</vt:lpwstr>
  </property>
  <property fmtid="{D5CDD505-2E9C-101B-9397-08002B2CF9AE}" pid="22" name="ReviewedDate">
    <vt:lpwstr>2015-09-14</vt:lpwstr>
  </property>
  <property fmtid="{D5CDD505-2E9C-101B-9397-08002B2CF9AE}" pid="23" name="ReviewedBy">
    <vt:lpwstr>Margareta Gulin</vt:lpwstr>
  </property>
  <property fmtid="{D5CDD505-2E9C-101B-9397-08002B2CF9AE}" pid="24" name="ReviewedByOU">
    <vt:lpwstr>Kemi och farmakologi</vt:lpwstr>
  </property>
  <property fmtid="{D5CDD505-2E9C-101B-9397-08002B2CF9AE}" pid="25" name="ReviewedByTitle">
    <vt:lpwstr>AL Kvalitetssamordnare KKF</vt:lpwstr>
  </property>
  <property fmtid="{D5CDD505-2E9C-101B-9397-08002B2CF9AE}" pid="26" name="ReviewedByPositionCode">
    <vt:lpwstr>KKF</vt:lpwstr>
  </property>
  <property fmtid="{D5CDD505-2E9C-101B-9397-08002B2CF9AE}" pid="27" name="ApprovedDate">
    <vt:lpwstr>2015-09-17</vt:lpwstr>
  </property>
  <property fmtid="{D5CDD505-2E9C-101B-9397-08002B2CF9AE}" pid="28" name="ApprovedByOU">
    <vt:lpwstr>Kemi och farmakologi</vt:lpwstr>
  </property>
  <property fmtid="{D5CDD505-2E9C-101B-9397-08002B2CF9AE}" pid="29" name="ApprovedByTitle">
    <vt:lpwstr>AL Medicinskt ansvarig KKF</vt:lpwstr>
  </property>
  <property fmtid="{D5CDD505-2E9C-101B-9397-08002B2CF9AE}" pid="30" name="ApprovedByPositionCode">
    <vt:lpwstr>KKF</vt:lpwstr>
  </property>
  <property fmtid="{D5CDD505-2E9C-101B-9397-08002B2CF9AE}" pid="31" name="ValidUntil">
    <vt:lpwstr/>
  </property>
  <property fmtid="{D5CDD505-2E9C-101B-9397-08002B2CF9AE}" pid="32" name="DistributionMessage">
    <vt:lpwstr/>
  </property>
</Properties>
</file>